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kinsoku/>
        <w:wordWrap/>
        <w:overflowPunct/>
        <w:topLinePunct w:val="0"/>
        <w:bidi w:val="0"/>
        <w:adjustRightInd/>
        <w:snapToGrid/>
        <w:spacing w:before="0" w:beforeAutospacing="0" w:after="0" w:afterAutospacing="0" w:line="600" w:lineRule="exact"/>
        <w:jc w:val="left"/>
        <w:textAlignment w:val="auto"/>
        <w:rPr>
          <w:rFonts w:hint="eastAsia" w:ascii="仿宋_GB2312" w:hAnsi="仿宋_GB2312" w:eastAsia="仿宋_GB2312"/>
          <w:color w:val="000000"/>
          <w:sz w:val="32"/>
          <w:szCs w:val="32"/>
          <w:lang w:val="en-US" w:eastAsia="zh-CN"/>
        </w:rPr>
      </w:pPr>
      <w:bookmarkStart w:id="0" w:name="_Toc1845"/>
      <w:r>
        <w:rPr>
          <w:rFonts w:hint="eastAsia" w:ascii="仿宋_GB2312" w:hAnsi="仿宋_GB2312" w:eastAsia="仿宋_GB2312"/>
          <w:color w:val="000000"/>
          <w:sz w:val="32"/>
          <w:szCs w:val="32"/>
          <w:lang w:val="en-US" w:eastAsia="zh-CN"/>
        </w:rPr>
        <w:t>附件1：</w:t>
      </w:r>
    </w:p>
    <w:bookmarkEnd w:id="0"/>
    <w:p>
      <w:pPr>
        <w:pStyle w:val="4"/>
        <w:keepNext w:val="0"/>
        <w:keepLines w:val="0"/>
        <w:pageBreakBefore w:val="0"/>
        <w:widowControl w:val="0"/>
        <w:shd w:val="clear" w:color="auto" w:fill="auto"/>
        <w:kinsoku/>
        <w:wordWrap/>
        <w:overflowPunct/>
        <w:topLinePunct w:val="0"/>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Times New Roman"/>
          <w:b w:val="0"/>
          <w:bCs w:val="0"/>
          <w:i w:val="0"/>
          <w:iC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Times New Roman"/>
          <w:b w:val="0"/>
          <w:bCs w:val="0"/>
          <w:i w:val="0"/>
          <w:iCs w:val="0"/>
          <w:color w:val="000000"/>
          <w:spacing w:val="0"/>
          <w:kern w:val="0"/>
          <w:sz w:val="44"/>
          <w:szCs w:val="44"/>
          <w:shd w:val="clear" w:color="auto" w:fill="FFFFFF"/>
          <w:lang w:val="en-US" w:eastAsia="zh-CN" w:bidi="ar"/>
        </w:rPr>
        <w:t>监测内容及要求</w:t>
      </w: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firstLine="627" w:firstLineChars="196"/>
        <w:jc w:val="left"/>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一</w:t>
      </w:r>
      <w:r>
        <w:rPr>
          <w:rFonts w:hint="eastAsia" w:ascii="黑体" w:hAnsi="黑体" w:eastAsia="黑体"/>
          <w:b w:val="0"/>
          <w:bCs w:val="0"/>
          <w:sz w:val="32"/>
          <w:szCs w:val="32"/>
          <w:lang w:val="en-US"/>
        </w:rPr>
        <w:t>、</w:t>
      </w:r>
      <w:r>
        <w:rPr>
          <w:rFonts w:hint="eastAsia" w:ascii="黑体" w:hAnsi="黑体" w:eastAsia="黑体"/>
          <w:b w:val="0"/>
          <w:bCs w:val="0"/>
          <w:sz w:val="32"/>
          <w:szCs w:val="32"/>
          <w:lang w:val="en-US" w:eastAsia="zh-CN"/>
        </w:rPr>
        <w:t>工作内容</w:t>
      </w: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firstLine="630" w:firstLineChars="196"/>
        <w:jc w:val="left"/>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（一）</w:t>
      </w:r>
      <w:r>
        <w:rPr>
          <w:rFonts w:hint="eastAsia" w:ascii="楷体" w:hAnsi="楷体" w:eastAsia="楷体" w:cs="楷体"/>
          <w:b/>
          <w:sz w:val="32"/>
          <w:szCs w:val="32"/>
        </w:rPr>
        <w:t>监测范围</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惠安县</w:t>
      </w:r>
      <w:r>
        <w:rPr>
          <w:rFonts w:hint="eastAsia" w:ascii="仿宋_GB2312" w:hAnsi="仿宋_GB2312" w:eastAsia="仿宋_GB2312"/>
          <w:sz w:val="32"/>
          <w:szCs w:val="32"/>
        </w:rPr>
        <w:t>范围内</w:t>
      </w:r>
      <w:r>
        <w:rPr>
          <w:rFonts w:hint="eastAsia" w:ascii="仿宋_GB2312" w:hAnsi="仿宋_GB2312" w:eastAsia="仿宋_GB2312"/>
          <w:color w:val="FF0000"/>
          <w:sz w:val="32"/>
          <w:szCs w:val="32"/>
          <w:highlight w:val="none"/>
          <w:u w:val="single"/>
          <w:lang w:val="en-US" w:eastAsia="zh-CN"/>
        </w:rPr>
        <w:t>36</w:t>
      </w:r>
      <w:r>
        <w:rPr>
          <w:rFonts w:hint="eastAsia" w:ascii="仿宋_GB2312" w:hAnsi="仿宋_GB2312" w:eastAsia="仿宋_GB2312"/>
          <w:sz w:val="32"/>
          <w:szCs w:val="32"/>
          <w:u w:val="single"/>
        </w:rPr>
        <w:t>个</w:t>
      </w:r>
      <w:r>
        <w:rPr>
          <w:rFonts w:hint="eastAsia" w:ascii="仿宋_GB2312" w:hAnsi="仿宋_GB2312" w:eastAsia="仿宋_GB2312"/>
          <w:sz w:val="32"/>
          <w:szCs w:val="32"/>
          <w:lang w:eastAsia="zh-CN"/>
        </w:rPr>
        <w:t>海水</w:t>
      </w:r>
      <w:r>
        <w:rPr>
          <w:rFonts w:hint="eastAsia" w:ascii="仿宋_GB2312" w:hAnsi="仿宋_GB2312" w:eastAsia="仿宋_GB2312"/>
          <w:sz w:val="32"/>
          <w:szCs w:val="32"/>
        </w:rPr>
        <w:t>养殖入海排放口</w:t>
      </w:r>
      <w:r>
        <w:rPr>
          <w:rFonts w:hint="eastAsia" w:ascii="仿宋_GB2312" w:hAnsi="仿宋_GB2312" w:eastAsia="仿宋_GB2312"/>
          <w:sz w:val="32"/>
          <w:szCs w:val="32"/>
          <w:lang w:eastAsia="zh-CN"/>
        </w:rPr>
        <w:t>进排水</w:t>
      </w:r>
      <w:r>
        <w:rPr>
          <w:rFonts w:hint="eastAsia" w:ascii="仿宋_GB2312" w:hAnsi="仿宋_GB2312" w:eastAsia="仿宋_GB2312"/>
          <w:sz w:val="32"/>
          <w:szCs w:val="32"/>
        </w:rPr>
        <w:t>水质监测。</w:t>
      </w:r>
    </w:p>
    <w:p>
      <w:pPr>
        <w:pStyle w:val="5"/>
        <w:keepNext w:val="0"/>
        <w:keepLines w:val="0"/>
        <w:pageBreakBefore w:val="0"/>
        <w:widowControl w:val="0"/>
        <w:shd w:val="clear" w:color="auto" w:fill="auto"/>
        <w:kinsoku/>
        <w:wordWrap/>
        <w:overflowPunct/>
        <w:topLinePunct w:val="0"/>
        <w:bidi w:val="0"/>
        <w:adjustRightInd/>
        <w:snapToGrid/>
        <w:spacing w:line="600" w:lineRule="exact"/>
        <w:ind w:firstLine="640" w:firstLineChars="200"/>
        <w:jc w:val="left"/>
        <w:textAlignment w:val="auto"/>
        <w:rPr>
          <w:rFonts w:hint="eastAsia" w:ascii="仿宋_GB2312" w:hAnsi="仿宋_GB2312" w:eastAsia="仿宋_GB2312"/>
          <w:i w:val="0"/>
          <w:iCs w:val="0"/>
          <w:color w:val="000000"/>
          <w:spacing w:val="0"/>
          <w:kern w:val="0"/>
          <w:sz w:val="32"/>
          <w:szCs w:val="32"/>
          <w:shd w:val="clear" w:color="auto" w:fill="FFFFFF"/>
          <w:lang w:val="en-US" w:eastAsia="zh-CN" w:bidi="ar"/>
        </w:rPr>
      </w:pPr>
      <w:r>
        <w:rPr>
          <w:rFonts w:hint="eastAsia" w:ascii="仿宋_GB2312" w:hAnsi="仿宋_GB2312" w:eastAsia="仿宋_GB2312"/>
          <w:i w:val="0"/>
          <w:iCs w:val="0"/>
          <w:color w:val="000000"/>
          <w:spacing w:val="0"/>
          <w:kern w:val="0"/>
          <w:sz w:val="32"/>
          <w:szCs w:val="32"/>
          <w:shd w:val="clear" w:color="auto" w:fill="FFFFFF"/>
          <w:lang w:val="en-US" w:eastAsia="zh-CN" w:bidi="ar"/>
        </w:rPr>
        <w:t>服务时限内，须承担突发的水质检测任务。</w:t>
      </w: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firstLine="630" w:firstLineChars="196"/>
        <w:jc w:val="left"/>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（二）监测站位及监测内容</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2"/>
          <w:sz w:val="32"/>
          <w:szCs w:val="32"/>
          <w:lang w:val="en-US" w:eastAsia="zh-CN" w:bidi="ar-SA"/>
        </w:rPr>
      </w:pPr>
      <w:r>
        <w:rPr>
          <w:rFonts w:hint="eastAsia" w:ascii="仿宋_GB2312" w:hAnsi="仿宋_GB2312" w:eastAsia="仿宋_GB2312"/>
          <w:kern w:val="2"/>
          <w:sz w:val="32"/>
          <w:szCs w:val="32"/>
          <w:lang w:val="en-US" w:eastAsia="zh-CN" w:bidi="ar-SA"/>
        </w:rPr>
        <w:t>对海水养殖池塘或养殖场进水口、排水口分别采样，进行水质监测。</w:t>
      </w:r>
    </w:p>
    <w:p>
      <w:pPr>
        <w:pStyle w:val="5"/>
        <w:keepNext w:val="0"/>
        <w:keepLines w:val="0"/>
        <w:pageBreakBefore w:val="0"/>
        <w:widowControl w:val="0"/>
        <w:shd w:val="clear" w:color="auto" w:fill="auto"/>
        <w:kinsoku/>
        <w:wordWrap/>
        <w:overflowPunct/>
        <w:topLinePunct w:val="0"/>
        <w:bidi w:val="0"/>
        <w:adjustRightInd/>
        <w:snapToGrid/>
        <w:spacing w:line="600" w:lineRule="exact"/>
        <w:ind w:firstLine="640" w:firstLineChars="200"/>
        <w:jc w:val="left"/>
        <w:textAlignment w:val="auto"/>
        <w:rPr>
          <w:rFonts w:hint="eastAsia" w:ascii="仿宋_GB2312" w:hAnsi="仿宋_GB2312" w:eastAsia="仿宋_GB2312"/>
          <w:i w:val="0"/>
          <w:iCs w:val="0"/>
          <w:color w:val="000000"/>
          <w:spacing w:val="0"/>
          <w:kern w:val="0"/>
          <w:sz w:val="32"/>
          <w:szCs w:val="32"/>
          <w:shd w:val="clear" w:color="auto" w:fill="FFFFFF"/>
          <w:lang w:val="en-US" w:eastAsia="zh-CN" w:bidi="ar"/>
        </w:rPr>
      </w:pPr>
      <w:r>
        <w:rPr>
          <w:rFonts w:hint="eastAsia" w:ascii="仿宋_GB2312" w:hAnsi="仿宋_GB2312" w:eastAsia="仿宋_GB2312"/>
          <w:kern w:val="2"/>
          <w:sz w:val="32"/>
          <w:szCs w:val="32"/>
          <w:lang w:val="en-US" w:eastAsia="zh-CN" w:bidi="ar-SA"/>
        </w:rPr>
        <w:t>海水养殖池塘进排水监测要素</w:t>
      </w:r>
      <w:r>
        <w:rPr>
          <w:rFonts w:hint="eastAsia" w:ascii="仿宋_GB2312" w:hAnsi="仿宋_GB2312" w:eastAsia="仿宋_GB2312"/>
          <w:i w:val="0"/>
          <w:iCs w:val="0"/>
          <w:color w:val="000000"/>
          <w:spacing w:val="0"/>
          <w:kern w:val="0"/>
          <w:sz w:val="32"/>
          <w:szCs w:val="32"/>
          <w:shd w:val="clear" w:color="auto" w:fill="FFFFFF"/>
          <w:lang w:val="en-US" w:eastAsia="zh-CN" w:bidi="ar"/>
        </w:rPr>
        <w:t>包括悬浮物、pH、化学需氧量（CODMn）、总氮（以N计）、总磷（以P计）。</w:t>
      </w:r>
    </w:p>
    <w:p>
      <w:pPr>
        <w:pStyle w:val="5"/>
        <w:keepNext w:val="0"/>
        <w:keepLines w:val="0"/>
        <w:pageBreakBefore w:val="0"/>
        <w:widowControl w:val="0"/>
        <w:shd w:val="clear" w:color="auto" w:fill="auto"/>
        <w:kinsoku/>
        <w:wordWrap/>
        <w:overflowPunct/>
        <w:topLinePunct w:val="0"/>
        <w:bidi w:val="0"/>
        <w:adjustRightInd/>
        <w:snapToGrid/>
        <w:spacing w:line="600" w:lineRule="exact"/>
        <w:ind w:firstLine="640" w:firstLineChars="200"/>
        <w:jc w:val="left"/>
        <w:textAlignment w:val="auto"/>
        <w:rPr>
          <w:rFonts w:hint="eastAsia" w:ascii="仿宋_GB2312" w:hAnsi="仿宋_GB2312" w:eastAsia="仿宋_GB2312"/>
          <w:kern w:val="2"/>
          <w:sz w:val="32"/>
          <w:szCs w:val="32"/>
          <w:lang w:val="en-US" w:eastAsia="zh-CN" w:bidi="ar-SA"/>
        </w:rPr>
      </w:pPr>
      <w:r>
        <w:rPr>
          <w:rFonts w:hint="eastAsia" w:ascii="仿宋_GB2312" w:hAnsi="仿宋_GB2312" w:eastAsia="仿宋_GB2312"/>
          <w:i w:val="0"/>
          <w:iCs w:val="0"/>
          <w:color w:val="000000"/>
          <w:spacing w:val="0"/>
          <w:kern w:val="0"/>
          <w:sz w:val="32"/>
          <w:szCs w:val="32"/>
          <w:shd w:val="clear" w:color="auto" w:fill="FFFFFF"/>
          <w:lang w:val="en-US" w:eastAsia="zh-CN" w:bidi="ar"/>
        </w:rPr>
        <w:t>监测要素排放限值以福建省水产养殖尾水排放标准（DB35/2160—2023）为准。</w:t>
      </w: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firstLine="630" w:firstLineChars="196"/>
        <w:jc w:val="left"/>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（三）监测频率</w:t>
      </w: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firstLine="627" w:firstLineChars="196"/>
        <w:jc w:val="left"/>
        <w:textAlignment w:val="auto"/>
        <w:rPr>
          <w:rFonts w:hint="eastAsia" w:ascii="仿宋_GB2312" w:hAnsi="仿宋_GB2312" w:eastAsia="仿宋_GB2312"/>
          <w:color w:val="FF0000"/>
          <w:sz w:val="32"/>
          <w:szCs w:val="32"/>
          <w:u w:val="single"/>
        </w:rPr>
      </w:pPr>
      <w:r>
        <w:rPr>
          <w:rFonts w:hint="eastAsia" w:ascii="仿宋_GB2312" w:hAnsi="仿宋_GB2312" w:eastAsia="仿宋_GB2312"/>
          <w:color w:val="FF0000"/>
          <w:sz w:val="32"/>
          <w:szCs w:val="32"/>
          <w:u w:val="single"/>
          <w:lang w:val="en-US" w:eastAsia="zh-CN"/>
        </w:rPr>
        <w:t>1、规模以上养殖</w:t>
      </w:r>
      <w:r>
        <w:rPr>
          <w:rFonts w:hint="eastAsia" w:ascii="仿宋_GB2312" w:hAnsi="仿宋_GB2312" w:eastAsia="仿宋_GB2312"/>
          <w:color w:val="FF0000"/>
          <w:sz w:val="32"/>
          <w:szCs w:val="32"/>
          <w:u w:val="single"/>
        </w:rPr>
        <w:t>监测频次为</w:t>
      </w:r>
      <w:r>
        <w:rPr>
          <w:rFonts w:hint="eastAsia" w:ascii="仿宋_GB2312" w:hAnsi="仿宋_GB2312" w:eastAsia="仿宋_GB2312"/>
          <w:color w:val="FF0000"/>
          <w:sz w:val="32"/>
          <w:szCs w:val="32"/>
          <w:u w:val="single"/>
          <w:lang w:val="en-US" w:eastAsia="zh-CN"/>
        </w:rPr>
        <w:t>4</w:t>
      </w:r>
      <w:r>
        <w:rPr>
          <w:rFonts w:hint="eastAsia" w:ascii="仿宋_GB2312" w:hAnsi="仿宋_GB2312" w:eastAsia="仿宋_GB2312"/>
          <w:color w:val="FF0000"/>
          <w:sz w:val="32"/>
          <w:szCs w:val="32"/>
          <w:u w:val="single"/>
        </w:rPr>
        <w:t>次，原则上定为</w:t>
      </w:r>
      <w:r>
        <w:rPr>
          <w:rFonts w:hint="eastAsia" w:ascii="仿宋_GB2312" w:hAnsi="仿宋_GB2312" w:eastAsia="仿宋_GB2312"/>
          <w:color w:val="FF0000"/>
          <w:sz w:val="32"/>
          <w:szCs w:val="32"/>
          <w:u w:val="single"/>
          <w:lang w:val="en-US" w:eastAsia="zh-CN"/>
        </w:rPr>
        <w:t>4月、6月、8</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eastAsia="zh-CN"/>
        </w:rPr>
        <w:t>、</w:t>
      </w:r>
      <w:r>
        <w:rPr>
          <w:rFonts w:hint="eastAsia" w:ascii="仿宋_GB2312" w:hAnsi="仿宋_GB2312" w:eastAsia="仿宋_GB2312"/>
          <w:color w:val="FF0000"/>
          <w:sz w:val="32"/>
          <w:szCs w:val="32"/>
          <w:u w:val="single"/>
          <w:lang w:val="en-US" w:eastAsia="zh-CN"/>
        </w:rPr>
        <w:t>10月</w:t>
      </w:r>
      <w:r>
        <w:rPr>
          <w:rFonts w:hint="eastAsia" w:ascii="仿宋_GB2312" w:hAnsi="仿宋_GB2312" w:eastAsia="仿宋_GB2312"/>
          <w:color w:val="FF0000"/>
          <w:sz w:val="32"/>
          <w:szCs w:val="32"/>
          <w:u w:val="single"/>
        </w:rPr>
        <w:t>。</w:t>
      </w: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firstLine="627" w:firstLineChars="196"/>
        <w:jc w:val="left"/>
        <w:textAlignment w:val="auto"/>
        <w:rPr>
          <w:rFonts w:hint="eastAsia" w:ascii="仿宋_GB2312" w:hAnsi="仿宋_GB2312" w:eastAsia="仿宋_GB2312"/>
          <w:color w:val="FF0000"/>
          <w:sz w:val="32"/>
          <w:szCs w:val="32"/>
          <w:u w:val="single"/>
        </w:rPr>
      </w:pPr>
      <w:r>
        <w:rPr>
          <w:rFonts w:hint="eastAsia" w:ascii="仿宋_GB2312" w:hAnsi="仿宋_GB2312" w:eastAsia="仿宋_GB2312"/>
          <w:color w:val="FF0000"/>
          <w:sz w:val="32"/>
          <w:szCs w:val="32"/>
          <w:u w:val="single"/>
          <w:lang w:val="en-US" w:eastAsia="zh-CN"/>
        </w:rPr>
        <w:t>2、规模以下养殖</w:t>
      </w:r>
      <w:r>
        <w:rPr>
          <w:rFonts w:hint="eastAsia" w:ascii="仿宋_GB2312" w:hAnsi="仿宋_GB2312" w:eastAsia="仿宋_GB2312"/>
          <w:color w:val="FF0000"/>
          <w:sz w:val="32"/>
          <w:szCs w:val="32"/>
          <w:u w:val="single"/>
        </w:rPr>
        <w:t>监测频次为</w:t>
      </w:r>
      <w:r>
        <w:rPr>
          <w:rFonts w:hint="eastAsia" w:ascii="仿宋_GB2312" w:hAnsi="仿宋_GB2312" w:eastAsia="仿宋_GB2312"/>
          <w:color w:val="FF0000"/>
          <w:sz w:val="32"/>
          <w:szCs w:val="32"/>
          <w:u w:val="single"/>
          <w:lang w:val="en-US" w:eastAsia="zh-CN"/>
        </w:rPr>
        <w:t>2</w:t>
      </w:r>
      <w:r>
        <w:rPr>
          <w:rFonts w:hint="eastAsia" w:ascii="仿宋_GB2312" w:hAnsi="仿宋_GB2312" w:eastAsia="仿宋_GB2312"/>
          <w:color w:val="FF0000"/>
          <w:sz w:val="32"/>
          <w:szCs w:val="32"/>
          <w:u w:val="single"/>
        </w:rPr>
        <w:t>次，原则上定为</w:t>
      </w:r>
      <w:r>
        <w:rPr>
          <w:rFonts w:hint="eastAsia" w:ascii="仿宋_GB2312" w:hAnsi="仿宋_GB2312" w:eastAsia="仿宋_GB2312"/>
          <w:color w:val="FF0000"/>
          <w:sz w:val="32"/>
          <w:szCs w:val="32"/>
          <w:u w:val="single"/>
          <w:lang w:val="en-US" w:eastAsia="zh-CN"/>
        </w:rPr>
        <w:t>4月、8</w:t>
      </w:r>
      <w:r>
        <w:rPr>
          <w:rFonts w:hint="eastAsia" w:ascii="仿宋_GB2312" w:hAnsi="仿宋_GB2312" w:eastAsia="仿宋_GB2312"/>
          <w:color w:val="FF0000"/>
          <w:sz w:val="32"/>
          <w:szCs w:val="32"/>
          <w:u w:val="single"/>
        </w:rPr>
        <w:t>月。</w:t>
      </w: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firstLine="627" w:firstLineChars="196"/>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对于无法在上述月份采集水样的排放口，或一年排水不足2次的排放口，根据养殖品种的生长周期确定监测时间和频次。</w:t>
      </w: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firstLine="630" w:firstLineChars="196"/>
        <w:jc w:val="left"/>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（四）采样要求与分析方法</w:t>
      </w: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firstLine="627" w:firstLineChars="196"/>
        <w:jc w:val="left"/>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highlight w:val="none"/>
          <w:lang w:val="en-US" w:eastAsia="zh-CN"/>
        </w:rPr>
        <w:t>样品的采集、保存及运输应严</w:t>
      </w:r>
      <w:r>
        <w:rPr>
          <w:rFonts w:hint="eastAsia" w:ascii="仿宋_GB2312" w:hAnsi="仿宋_GB2312" w:eastAsia="仿宋_GB2312"/>
          <w:kern w:val="0"/>
          <w:sz w:val="32"/>
          <w:szCs w:val="32"/>
          <w:highlight w:val="none"/>
          <w:lang w:eastAsia="zh-CN"/>
        </w:rPr>
        <w:t>格按照</w:t>
      </w:r>
      <w:r>
        <w:rPr>
          <w:rFonts w:hint="eastAsia" w:ascii="仿宋_GB2312" w:hAnsi="仿宋_GB2312" w:eastAsia="仿宋_GB2312"/>
          <w:kern w:val="0"/>
          <w:sz w:val="32"/>
          <w:szCs w:val="32"/>
          <w:highlight w:val="none"/>
        </w:rPr>
        <w:t>《渔业生态环境监测规范》（SC/T9102-2007）有关规定执行。</w:t>
      </w:r>
      <w:r>
        <w:rPr>
          <w:rFonts w:hint="eastAsia" w:ascii="仿宋_GB2312" w:hAnsi="仿宋_GB2312" w:eastAsia="仿宋_GB2312"/>
          <w:kern w:val="0"/>
          <w:sz w:val="32"/>
          <w:szCs w:val="32"/>
        </w:rPr>
        <w:t>海水养殖排水的监测要素分析方法参照下表2执行。</w:t>
      </w:r>
    </w:p>
    <w:p>
      <w:pPr>
        <w:pStyle w:val="5"/>
        <w:keepNext w:val="0"/>
        <w:keepLines w:val="0"/>
        <w:pageBreakBefore w:val="0"/>
        <w:widowControl w:val="0"/>
        <w:kinsoku/>
        <w:wordWrap/>
        <w:overflowPunct/>
        <w:topLinePunct w:val="0"/>
        <w:bidi w:val="0"/>
        <w:adjustRightInd/>
        <w:snapToGrid/>
        <w:spacing w:line="600" w:lineRule="exact"/>
        <w:jc w:val="left"/>
        <w:textAlignment w:val="auto"/>
        <w:rPr>
          <w:rFonts w:hint="eastAsia"/>
        </w:rPr>
      </w:pPr>
    </w:p>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jc w:val="center"/>
        <w:textAlignment w:val="auto"/>
        <w:rPr>
          <w:rFonts w:hint="eastAsia" w:ascii="仿宋_GB2312" w:hAnsi="仿宋_GB2312" w:eastAsia="仿宋_GB2312"/>
          <w:b/>
          <w:sz w:val="32"/>
          <w:szCs w:val="32"/>
        </w:rPr>
      </w:pPr>
      <w:r>
        <w:rPr>
          <w:rFonts w:hint="eastAsia" w:ascii="仿宋_GB2312" w:hAnsi="仿宋_GB2312" w:eastAsia="仿宋_GB2312"/>
          <w:b/>
          <w:sz w:val="32"/>
          <w:szCs w:val="32"/>
        </w:rPr>
        <w:t>表2 海水养殖水质测定方法</w:t>
      </w:r>
    </w:p>
    <w:tbl>
      <w:tblPr>
        <w:tblStyle w:val="2"/>
        <w:tblW w:w="8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13"/>
        <w:gridCol w:w="1965"/>
        <w:gridCol w:w="3702"/>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 w:hRule="atLeast"/>
          <w:tblHeader/>
          <w:jc w:val="center"/>
        </w:trPr>
        <w:tc>
          <w:tcPr>
            <w:tcW w:w="713"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b/>
                <w:sz w:val="32"/>
                <w:szCs w:val="32"/>
              </w:rPr>
            </w:pPr>
            <w:r>
              <w:rPr>
                <w:rFonts w:hint="eastAsia" w:ascii="仿宋_GB2312" w:hAnsi="仿宋_GB2312" w:eastAsia="仿宋_GB2312"/>
                <w:b/>
                <w:sz w:val="32"/>
                <w:szCs w:val="32"/>
              </w:rPr>
              <w:t>序号</w:t>
            </w:r>
          </w:p>
        </w:tc>
        <w:tc>
          <w:tcPr>
            <w:tcW w:w="1965"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b/>
                <w:sz w:val="32"/>
                <w:szCs w:val="32"/>
              </w:rPr>
            </w:pPr>
            <w:r>
              <w:rPr>
                <w:rFonts w:hint="eastAsia" w:ascii="仿宋_GB2312" w:hAnsi="仿宋_GB2312" w:eastAsia="仿宋_GB2312"/>
                <w:b/>
                <w:sz w:val="32"/>
                <w:szCs w:val="32"/>
              </w:rPr>
              <w:t>项目</w:t>
            </w:r>
          </w:p>
        </w:tc>
        <w:tc>
          <w:tcPr>
            <w:tcW w:w="3702"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b/>
                <w:sz w:val="32"/>
                <w:szCs w:val="32"/>
              </w:rPr>
            </w:pPr>
            <w:r>
              <w:rPr>
                <w:rFonts w:hint="eastAsia" w:ascii="仿宋_GB2312" w:hAnsi="仿宋_GB2312" w:eastAsia="仿宋_GB2312"/>
                <w:b/>
                <w:sz w:val="32"/>
                <w:szCs w:val="32"/>
              </w:rPr>
              <w:t>分析方法</w:t>
            </w:r>
          </w:p>
        </w:tc>
        <w:tc>
          <w:tcPr>
            <w:tcW w:w="2118"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b/>
                <w:sz w:val="32"/>
                <w:szCs w:val="32"/>
              </w:rPr>
            </w:pPr>
            <w:r>
              <w:rPr>
                <w:rFonts w:hint="eastAsia" w:ascii="仿宋_GB2312" w:hAnsi="仿宋_GB2312" w:eastAsia="仿宋_GB2312"/>
                <w:b/>
                <w:sz w:val="32"/>
                <w:szCs w:val="32"/>
              </w:rPr>
              <w:t>引用标准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 w:hRule="atLeast"/>
          <w:jc w:val="center"/>
        </w:trPr>
        <w:tc>
          <w:tcPr>
            <w:tcW w:w="713" w:type="dxa"/>
            <w:vMerge w:val="restart"/>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1</w:t>
            </w:r>
          </w:p>
        </w:tc>
        <w:tc>
          <w:tcPr>
            <w:tcW w:w="1965" w:type="dxa"/>
            <w:vMerge w:val="restart"/>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pH</w:t>
            </w:r>
          </w:p>
        </w:tc>
        <w:tc>
          <w:tcPr>
            <w:tcW w:w="3702"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pH计法</w:t>
            </w:r>
          </w:p>
        </w:tc>
        <w:tc>
          <w:tcPr>
            <w:tcW w:w="2118"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GB 17378.4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 w:hRule="atLeast"/>
          <w:jc w:val="center"/>
        </w:trPr>
        <w:tc>
          <w:tcPr>
            <w:tcW w:w="713" w:type="dxa"/>
            <w:vMerge w:val="continue"/>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p>
        </w:tc>
        <w:tc>
          <w:tcPr>
            <w:tcW w:w="1965" w:type="dxa"/>
            <w:vMerge w:val="continue"/>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p>
        </w:tc>
        <w:tc>
          <w:tcPr>
            <w:tcW w:w="3702"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（2）多参数水质仪</w:t>
            </w:r>
          </w:p>
        </w:tc>
        <w:tc>
          <w:tcPr>
            <w:tcW w:w="2118"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HY/T 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 w:hRule="atLeast"/>
          <w:jc w:val="center"/>
        </w:trPr>
        <w:tc>
          <w:tcPr>
            <w:tcW w:w="713"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2</w:t>
            </w:r>
          </w:p>
        </w:tc>
        <w:tc>
          <w:tcPr>
            <w:tcW w:w="1965"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悬浮物</w:t>
            </w:r>
          </w:p>
        </w:tc>
        <w:tc>
          <w:tcPr>
            <w:tcW w:w="3702"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重量法</w:t>
            </w:r>
          </w:p>
        </w:tc>
        <w:tc>
          <w:tcPr>
            <w:tcW w:w="2118"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GB 17378.4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 w:hRule="atLeast"/>
          <w:jc w:val="center"/>
        </w:trPr>
        <w:tc>
          <w:tcPr>
            <w:tcW w:w="713"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3</w:t>
            </w:r>
          </w:p>
        </w:tc>
        <w:tc>
          <w:tcPr>
            <w:tcW w:w="1965"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化学需氧量</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COD</w:t>
            </w:r>
            <w:r>
              <w:rPr>
                <w:rFonts w:hint="eastAsia" w:ascii="仿宋_GB2312" w:hAnsi="仿宋_GB2312" w:eastAsia="仿宋_GB2312"/>
                <w:sz w:val="32"/>
                <w:szCs w:val="32"/>
                <w:vertAlign w:val="subscript"/>
              </w:rPr>
              <w:t>Mn</w:t>
            </w:r>
            <w:r>
              <w:rPr>
                <w:rFonts w:hint="eastAsia" w:ascii="仿宋_GB2312" w:hAnsi="仿宋_GB2312" w:eastAsia="仿宋_GB2312"/>
                <w:sz w:val="32"/>
                <w:szCs w:val="32"/>
                <w:lang w:eastAsia="zh-CN"/>
              </w:rPr>
              <w:t>）</w:t>
            </w:r>
          </w:p>
        </w:tc>
        <w:tc>
          <w:tcPr>
            <w:tcW w:w="3702"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碱性高锰酸钾法</w:t>
            </w:r>
          </w:p>
        </w:tc>
        <w:tc>
          <w:tcPr>
            <w:tcW w:w="2118"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GB 17378.4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 w:hRule="atLeast"/>
          <w:jc w:val="center"/>
        </w:trPr>
        <w:tc>
          <w:tcPr>
            <w:tcW w:w="713" w:type="dxa"/>
            <w:vMerge w:val="restart"/>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4</w:t>
            </w:r>
          </w:p>
        </w:tc>
        <w:tc>
          <w:tcPr>
            <w:tcW w:w="1965" w:type="dxa"/>
            <w:vMerge w:val="restart"/>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总磷</w:t>
            </w:r>
          </w:p>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以P计</w:t>
            </w:r>
            <w:r>
              <w:rPr>
                <w:rFonts w:hint="eastAsia" w:ascii="仿宋_GB2312" w:hAnsi="仿宋_GB2312" w:eastAsia="仿宋_GB2312"/>
                <w:sz w:val="32"/>
                <w:szCs w:val="32"/>
                <w:lang w:eastAsia="zh-CN"/>
              </w:rPr>
              <w:t>）</w:t>
            </w:r>
          </w:p>
        </w:tc>
        <w:tc>
          <w:tcPr>
            <w:tcW w:w="3702"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⑴过硫酸钾氧化法</w:t>
            </w:r>
          </w:p>
        </w:tc>
        <w:tc>
          <w:tcPr>
            <w:tcW w:w="2118"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GB 17378.4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 w:hRule="atLeast"/>
          <w:jc w:val="center"/>
        </w:trPr>
        <w:tc>
          <w:tcPr>
            <w:tcW w:w="713" w:type="dxa"/>
            <w:vMerge w:val="continue"/>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p>
        </w:tc>
        <w:tc>
          <w:tcPr>
            <w:tcW w:w="1965" w:type="dxa"/>
            <w:vMerge w:val="continue"/>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p>
        </w:tc>
        <w:tc>
          <w:tcPr>
            <w:tcW w:w="3702"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⑵流动分析法</w:t>
            </w:r>
          </w:p>
        </w:tc>
        <w:tc>
          <w:tcPr>
            <w:tcW w:w="2118"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HY/T 147.1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 w:hRule="atLeast"/>
          <w:jc w:val="center"/>
        </w:trPr>
        <w:tc>
          <w:tcPr>
            <w:tcW w:w="713" w:type="dxa"/>
            <w:vMerge w:val="restart"/>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5</w:t>
            </w:r>
          </w:p>
        </w:tc>
        <w:tc>
          <w:tcPr>
            <w:tcW w:w="1965" w:type="dxa"/>
            <w:vMerge w:val="restart"/>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总氮</w:t>
            </w:r>
          </w:p>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以N计</w:t>
            </w:r>
            <w:r>
              <w:rPr>
                <w:rFonts w:hint="eastAsia" w:ascii="仿宋_GB2312" w:hAnsi="仿宋_GB2312" w:eastAsia="仿宋_GB2312"/>
                <w:sz w:val="32"/>
                <w:szCs w:val="32"/>
                <w:lang w:eastAsia="zh-CN"/>
              </w:rPr>
              <w:t>）</w:t>
            </w:r>
          </w:p>
        </w:tc>
        <w:tc>
          <w:tcPr>
            <w:tcW w:w="3702"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⑴过硫酸钾氧化法</w:t>
            </w:r>
          </w:p>
        </w:tc>
        <w:tc>
          <w:tcPr>
            <w:tcW w:w="2118"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GB 17378.4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87" w:hRule="atLeast"/>
          <w:jc w:val="center"/>
        </w:trPr>
        <w:tc>
          <w:tcPr>
            <w:tcW w:w="713" w:type="dxa"/>
            <w:vMerge w:val="continue"/>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p>
        </w:tc>
        <w:tc>
          <w:tcPr>
            <w:tcW w:w="1965" w:type="dxa"/>
            <w:vMerge w:val="continue"/>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p>
        </w:tc>
        <w:tc>
          <w:tcPr>
            <w:tcW w:w="3702"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⑵流动分析法</w:t>
            </w:r>
          </w:p>
        </w:tc>
        <w:tc>
          <w:tcPr>
            <w:tcW w:w="2118" w:type="dxa"/>
            <w:tcMar>
              <w:top w:w="0" w:type="dxa"/>
              <w:left w:w="28" w:type="dxa"/>
              <w:bottom w:w="0" w:type="dxa"/>
              <w:right w:w="28" w:type="dxa"/>
            </w:tcMar>
            <w:vAlign w:val="center"/>
          </w:tcPr>
          <w:p>
            <w:pPr>
              <w:keepNext w:val="0"/>
              <w:keepLines w:val="0"/>
              <w:pageBreakBefore w:val="0"/>
              <w:widowControl w:val="0"/>
              <w:suppressLineNumbers w:val="0"/>
              <w:shd w:val="clear" w:color="auto" w:fill="auto"/>
              <w:kinsoku/>
              <w:wordWrap/>
              <w:overflowPunct/>
              <w:topLinePunct w:val="0"/>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rPr>
              <w:t>HY/T 147.1</w:t>
            </w:r>
          </w:p>
        </w:tc>
      </w:tr>
    </w:tbl>
    <w:p>
      <w:pPr>
        <w:keepNext w:val="0"/>
        <w:keepLines w:val="0"/>
        <w:pageBreakBefore w:val="0"/>
        <w:widowControl w:val="0"/>
        <w:shd w:val="clear" w:color="auto" w:fill="auto"/>
        <w:kinsoku/>
        <w:wordWrap/>
        <w:overflowPunct/>
        <w:topLinePunct w:val="0"/>
        <w:bidi w:val="0"/>
        <w:adjustRightInd/>
        <w:snapToGrid/>
        <w:spacing w:beforeAutospacing="0" w:afterAutospacing="0" w:line="600" w:lineRule="exact"/>
        <w:ind w:left="0" w:leftChars="0" w:firstLine="562" w:firstLineChars="175"/>
        <w:jc w:val="left"/>
        <w:textAlignment w:val="auto"/>
        <w:rPr>
          <w:rFonts w:hint="eastAsia" w:ascii="仿宋_GB2312" w:hAnsi="仿宋_GB2312" w:eastAsia="仿宋_GB2312"/>
          <w:b/>
          <w:sz w:val="32"/>
          <w:szCs w:val="32"/>
          <w:lang w:val="en-US" w:eastAsia="zh-CN"/>
        </w:rPr>
      </w:pP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黑体" w:hAnsi="黑体" w:eastAsia="黑体"/>
          <w:b w:val="0"/>
          <w:bCs w:val="0"/>
          <w:kern w:val="0"/>
          <w:sz w:val="32"/>
          <w:szCs w:val="32"/>
          <w:lang w:eastAsia="zh-CN"/>
        </w:rPr>
      </w:pPr>
      <w:r>
        <w:rPr>
          <w:rFonts w:hint="eastAsia" w:ascii="黑体" w:hAnsi="黑体" w:eastAsia="黑体"/>
          <w:b w:val="0"/>
          <w:bCs w:val="0"/>
          <w:kern w:val="0"/>
          <w:sz w:val="32"/>
          <w:szCs w:val="32"/>
          <w:lang w:eastAsia="zh-CN"/>
        </w:rPr>
        <w:t>二、</w:t>
      </w:r>
      <w:r>
        <w:rPr>
          <w:rFonts w:hint="eastAsia" w:ascii="黑体" w:hAnsi="黑体" w:eastAsia="黑体"/>
          <w:b w:val="0"/>
          <w:bCs w:val="0"/>
          <w:kern w:val="0"/>
          <w:sz w:val="32"/>
          <w:szCs w:val="32"/>
        </w:rPr>
        <w:t>工作质控要求</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（一）</w:t>
      </w:r>
      <w:r>
        <w:rPr>
          <w:rFonts w:hint="eastAsia" w:ascii="楷体" w:hAnsi="楷体" w:eastAsia="楷体" w:cs="楷体"/>
          <w:b w:val="0"/>
          <w:bCs w:val="0"/>
          <w:kern w:val="0"/>
          <w:sz w:val="32"/>
          <w:szCs w:val="32"/>
        </w:rPr>
        <w:t>外业质控要求</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highlight w:val="none"/>
          <w:lang w:val="en-US" w:eastAsia="zh-CN"/>
        </w:rPr>
        <w:t>.</w:t>
      </w:r>
      <w:r>
        <w:rPr>
          <w:rFonts w:hint="eastAsia" w:ascii="仿宋_GB2312" w:hAnsi="仿宋_GB2312" w:eastAsia="仿宋_GB2312"/>
          <w:kern w:val="0"/>
          <w:sz w:val="32"/>
          <w:szCs w:val="32"/>
          <w:highlight w:val="none"/>
        </w:rPr>
        <w:t>水体样品的采集（预处理）、储存、运输应严格按《渔业生态环境监测规范》（SC/T9102-2007）等相关要求执行；采样时每批样品必须带现场空白样和运输空白样，同时应采集占样</w:t>
      </w:r>
      <w:r>
        <w:rPr>
          <w:rFonts w:hint="eastAsia" w:ascii="仿宋_GB2312" w:hAnsi="仿宋_GB2312" w:eastAsia="仿宋_GB2312"/>
          <w:kern w:val="0"/>
          <w:sz w:val="32"/>
          <w:szCs w:val="32"/>
        </w:rPr>
        <w:t>品总数5%的样品作为密码样进行分析（至少采集一个样品）。总氮、总磷项目加采10%样品做现场平行样测试（至少采集一个样品），化学需氧量采集100%现场平行样（不计入质控比例范围）。</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排水口样品采集严格按照</w:t>
      </w:r>
      <w:r>
        <w:rPr>
          <w:rFonts w:hint="eastAsia" w:ascii="仿宋_GB2312" w:hAnsi="仿宋_GB2312" w:eastAsia="仿宋_GB2312"/>
          <w:kern w:val="0"/>
          <w:sz w:val="32"/>
          <w:szCs w:val="32"/>
          <w:lang w:eastAsia="zh-CN"/>
        </w:rPr>
        <w:t>惠安县海水</w:t>
      </w:r>
      <w:r>
        <w:rPr>
          <w:rFonts w:hint="eastAsia" w:ascii="仿宋_GB2312" w:hAnsi="仿宋_GB2312" w:eastAsia="仿宋_GB2312"/>
          <w:kern w:val="0"/>
          <w:sz w:val="32"/>
          <w:szCs w:val="32"/>
        </w:rPr>
        <w:t>养殖排放口常规监测站位表中的经纬度地点进行。本项目监测对象为</w:t>
      </w:r>
      <w:r>
        <w:rPr>
          <w:rFonts w:hint="eastAsia" w:ascii="仿宋_GB2312" w:hAnsi="仿宋_GB2312" w:eastAsia="仿宋_GB2312"/>
          <w:kern w:val="0"/>
          <w:sz w:val="32"/>
          <w:szCs w:val="32"/>
          <w:lang w:eastAsia="zh-CN"/>
        </w:rPr>
        <w:t>海水</w:t>
      </w:r>
      <w:r>
        <w:rPr>
          <w:rFonts w:hint="eastAsia" w:ascii="仿宋_GB2312" w:hAnsi="仿宋_GB2312" w:eastAsia="仿宋_GB2312"/>
          <w:kern w:val="0"/>
          <w:sz w:val="32"/>
          <w:szCs w:val="32"/>
        </w:rPr>
        <w:t>养殖入海排放口，如现场调查时发现</w:t>
      </w:r>
      <w:r>
        <w:rPr>
          <w:rFonts w:hint="eastAsia" w:ascii="仿宋_GB2312" w:hAnsi="仿宋_GB2312" w:eastAsia="仿宋_GB2312"/>
          <w:kern w:val="0"/>
          <w:sz w:val="32"/>
          <w:szCs w:val="32"/>
          <w:lang w:eastAsia="zh-CN"/>
        </w:rPr>
        <w:t>惠安县海水</w:t>
      </w:r>
      <w:r>
        <w:rPr>
          <w:rFonts w:hint="eastAsia" w:ascii="仿宋_GB2312" w:hAnsi="仿宋_GB2312" w:eastAsia="仿宋_GB2312"/>
          <w:kern w:val="0"/>
          <w:sz w:val="32"/>
          <w:szCs w:val="32"/>
        </w:rPr>
        <w:t>养殖排放口非单纯的</w:t>
      </w:r>
      <w:r>
        <w:rPr>
          <w:rFonts w:hint="eastAsia" w:ascii="仿宋_GB2312" w:hAnsi="仿宋_GB2312" w:eastAsia="仿宋_GB2312"/>
          <w:kern w:val="0"/>
          <w:sz w:val="32"/>
          <w:szCs w:val="32"/>
          <w:lang w:eastAsia="zh-CN"/>
        </w:rPr>
        <w:t>海水</w:t>
      </w:r>
      <w:r>
        <w:rPr>
          <w:rFonts w:hint="eastAsia" w:ascii="仿宋_GB2312" w:hAnsi="仿宋_GB2312" w:eastAsia="仿宋_GB2312"/>
          <w:kern w:val="0"/>
          <w:sz w:val="32"/>
          <w:szCs w:val="32"/>
        </w:rPr>
        <w:t>养殖入海排放口，或者排水口未有养殖排水可采集等特殊情况，及时告知</w:t>
      </w:r>
      <w:r>
        <w:rPr>
          <w:rFonts w:hint="eastAsia" w:ascii="仿宋_GB2312" w:hAnsi="仿宋_GB2312" w:eastAsia="仿宋_GB2312"/>
          <w:kern w:val="0"/>
          <w:sz w:val="32"/>
          <w:szCs w:val="32"/>
          <w:lang w:eastAsia="zh-CN"/>
        </w:rPr>
        <w:t>惠安县农业农村局</w:t>
      </w:r>
      <w:r>
        <w:rPr>
          <w:rFonts w:hint="eastAsia" w:ascii="仿宋_GB2312" w:hAnsi="仿宋_GB2312" w:eastAsia="仿宋_GB2312"/>
          <w:kern w:val="0"/>
          <w:sz w:val="32"/>
          <w:szCs w:val="32"/>
        </w:rPr>
        <w:t>，由</w:t>
      </w:r>
      <w:r>
        <w:rPr>
          <w:rFonts w:hint="eastAsia" w:ascii="仿宋_GB2312" w:hAnsi="仿宋_GB2312" w:eastAsia="仿宋_GB2312"/>
          <w:kern w:val="0"/>
          <w:sz w:val="32"/>
          <w:szCs w:val="32"/>
          <w:lang w:eastAsia="zh-CN"/>
        </w:rPr>
        <w:t>惠安县农业农村局</w:t>
      </w:r>
      <w:r>
        <w:rPr>
          <w:rFonts w:hint="eastAsia" w:ascii="仿宋_GB2312" w:hAnsi="仿宋_GB2312" w:eastAsia="仿宋_GB2312"/>
          <w:kern w:val="0"/>
          <w:sz w:val="32"/>
          <w:szCs w:val="32"/>
        </w:rPr>
        <w:t>进行协调或替换其他排水口，并于之后将正式的理由说明纸质材料与监测数据一并报送</w:t>
      </w:r>
      <w:r>
        <w:rPr>
          <w:rFonts w:hint="eastAsia" w:ascii="仿宋_GB2312" w:hAnsi="仿宋_GB2312" w:eastAsia="仿宋_GB2312"/>
          <w:kern w:val="0"/>
          <w:sz w:val="32"/>
          <w:szCs w:val="32"/>
          <w:lang w:eastAsia="zh-CN"/>
        </w:rPr>
        <w:t>惠安县农业农村局</w:t>
      </w:r>
      <w:r>
        <w:rPr>
          <w:rFonts w:hint="eastAsia" w:ascii="仿宋_GB2312" w:hAnsi="仿宋_GB2312" w:eastAsia="仿宋_GB2312"/>
          <w:kern w:val="0"/>
          <w:sz w:val="32"/>
          <w:szCs w:val="32"/>
        </w:rPr>
        <w:t>。</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3.成交人</w:t>
      </w:r>
      <w:r>
        <w:rPr>
          <w:rFonts w:hint="eastAsia" w:ascii="仿宋_GB2312" w:hAnsi="仿宋_GB2312" w:eastAsia="仿宋_GB2312"/>
          <w:kern w:val="0"/>
          <w:sz w:val="32"/>
          <w:szCs w:val="32"/>
        </w:rPr>
        <w:t>应留存现场环境、现场作业及各站位经纬度、采样时间、背景等影像资料。现场照片5张以上，分辨率不低于1000万像素。站位定位信息等影像资料的轨迹原始文件应从GPS直接导出生成。</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4.检测</w:t>
      </w:r>
      <w:r>
        <w:rPr>
          <w:rFonts w:hint="eastAsia" w:ascii="仿宋_GB2312" w:hAnsi="仿宋_GB2312" w:eastAsia="仿宋_GB2312"/>
          <w:kern w:val="0"/>
          <w:sz w:val="32"/>
          <w:szCs w:val="32"/>
        </w:rPr>
        <w:t>数据和养殖信息调查应按照</w:t>
      </w:r>
      <w:r>
        <w:rPr>
          <w:rFonts w:hint="eastAsia" w:ascii="仿宋_GB2312" w:hAnsi="仿宋_GB2312" w:eastAsia="仿宋_GB2312"/>
          <w:kern w:val="0"/>
          <w:sz w:val="32"/>
          <w:szCs w:val="32"/>
          <w:lang w:eastAsia="zh-CN"/>
        </w:rPr>
        <w:t>惠安县农业农村局</w:t>
      </w:r>
      <w:r>
        <w:rPr>
          <w:rFonts w:hint="eastAsia" w:ascii="仿宋_GB2312" w:hAnsi="仿宋_GB2312" w:eastAsia="仿宋_GB2312"/>
          <w:kern w:val="0"/>
          <w:sz w:val="32"/>
          <w:szCs w:val="32"/>
        </w:rPr>
        <w:t>要求格式填写报送。</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（二）实验室内质控要求</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具有能满足测试分析要求的实验室环境、仪器设备，使用可溯源至国际单位制（SI）单位或有证标准物质。</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样品流转严格按照单位资质认定质量管理程序及有关规定执行。</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3.</w:t>
      </w:r>
      <w:r>
        <w:rPr>
          <w:rFonts w:hint="eastAsia" w:ascii="仿宋_GB2312" w:hAnsi="仿宋_GB2312" w:eastAsia="仿宋_GB2312"/>
          <w:kern w:val="0"/>
          <w:sz w:val="32"/>
          <w:szCs w:val="32"/>
        </w:rPr>
        <w:t>分析方法严格按照本方案要求执行。</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4.</w:t>
      </w:r>
      <w:r>
        <w:rPr>
          <w:rFonts w:hint="eastAsia" w:ascii="仿宋_GB2312" w:hAnsi="仿宋_GB2312" w:eastAsia="仿宋_GB2312"/>
          <w:kern w:val="0"/>
          <w:sz w:val="32"/>
          <w:szCs w:val="32"/>
        </w:rPr>
        <w:t>总氮、总磷等项目检测时须增设5%左右的加标回收样品进行检测，并且不少于1个；总氮、总磷等项目检测时须按样品总数的20%进行平行双样分析，并且不少于1个，平行双样报出均值</w:t>
      </w:r>
      <w:r>
        <w:rPr>
          <w:rFonts w:hint="eastAsia" w:ascii="仿宋_GB2312" w:hAnsi="仿宋_GB2312" w:eastAsia="仿宋_GB2312"/>
          <w:kern w:val="0"/>
          <w:sz w:val="32"/>
          <w:szCs w:val="32"/>
          <w:lang w:eastAsia="zh-CN"/>
        </w:rPr>
        <w:t>。</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5.</w:t>
      </w:r>
      <w:r>
        <w:rPr>
          <w:rFonts w:hint="eastAsia" w:ascii="仿宋_GB2312" w:hAnsi="仿宋_GB2312" w:eastAsia="仿宋_GB2312"/>
          <w:kern w:val="0"/>
          <w:sz w:val="32"/>
          <w:szCs w:val="32"/>
        </w:rPr>
        <w:t>回收率分析时，加标样品浓度容许范围为样品浓度的0.5~2倍，加标量尽量与样品含量相近，最高不超出方法测定上限的90%。加标物与待测的化学性质相近而不受方法或基体的干扰。</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6.</w:t>
      </w:r>
      <w:r>
        <w:rPr>
          <w:rFonts w:hint="eastAsia" w:ascii="仿宋_GB2312" w:hAnsi="仿宋_GB2312" w:eastAsia="仿宋_GB2312"/>
          <w:kern w:val="0"/>
          <w:sz w:val="32"/>
          <w:szCs w:val="32"/>
        </w:rPr>
        <w:t>每批水质样品质控数量不少于</w:t>
      </w: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个。</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7.</w:t>
      </w:r>
      <w:r>
        <w:rPr>
          <w:rFonts w:hint="eastAsia" w:ascii="仿宋_GB2312" w:hAnsi="仿宋_GB2312" w:eastAsia="仿宋_GB2312"/>
          <w:kern w:val="0"/>
          <w:sz w:val="32"/>
          <w:szCs w:val="32"/>
        </w:rPr>
        <w:t>所有的检测结果须按照标准和规范使用计量单位和进行有效数字修约，并报出平行双样、标准物质分析、加标和空白结果。</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（三）质控结果及异常数据判定</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①水质平行双样相对偏差、加标样回收率容许值要求实验按照《渔业生态环境监测规范第1部分总则》（SC/T 9102.1-2007）中表1《渔业生态环境监测实验室质量控制参考标准》执行，跟标样不应超过标准物质不确定度的2倍。</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②空白样合格判定依据参照《海洋监测规范 第2部分：数据处理与分析质量控制》附录A。</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2.</w:t>
      </w:r>
      <w:r>
        <w:rPr>
          <w:rFonts w:hint="eastAsia" w:ascii="仿宋_GB2312" w:hAnsi="仿宋_GB2312" w:eastAsia="仿宋_GB2312"/>
          <w:kern w:val="0"/>
          <w:sz w:val="32"/>
          <w:szCs w:val="32"/>
        </w:rPr>
        <w:t>异常值判定依据《海洋监测规范</w:t>
      </w:r>
      <w:r>
        <w:rPr>
          <w:rFonts w:hint="eastAsia" w:ascii="仿宋_GB2312" w:hAnsi="仿宋_GB2312" w:eastAsia="仿宋_GB2312"/>
          <w:kern w:val="0"/>
          <w:sz w:val="32"/>
          <w:szCs w:val="32"/>
          <w:lang w:val="en-US" w:eastAsia="zh-CN"/>
        </w:rPr>
        <w:t xml:space="preserve"> </w:t>
      </w:r>
      <w:r>
        <w:rPr>
          <w:rFonts w:hint="eastAsia" w:ascii="仿宋_GB2312" w:hAnsi="仿宋_GB2312" w:eastAsia="仿宋_GB2312"/>
          <w:kern w:val="0"/>
          <w:sz w:val="32"/>
          <w:szCs w:val="32"/>
        </w:rPr>
        <w:t>第2</w:t>
      </w:r>
      <w:r>
        <w:rPr>
          <w:rFonts w:hint="eastAsia" w:ascii="仿宋_GB2312" w:hAnsi="仿宋_GB2312" w:eastAsia="仿宋_GB2312"/>
          <w:kern w:val="0"/>
          <w:sz w:val="32"/>
          <w:szCs w:val="32"/>
          <w:lang w:eastAsia="zh-CN"/>
        </w:rPr>
        <w:t>部分</w:t>
      </w:r>
      <w:r>
        <w:rPr>
          <w:rFonts w:hint="eastAsia" w:ascii="仿宋_GB2312" w:hAnsi="仿宋_GB2312" w:eastAsia="仿宋_GB2312"/>
          <w:kern w:val="0"/>
          <w:sz w:val="32"/>
          <w:szCs w:val="32"/>
        </w:rPr>
        <w:t>：数据与分析质量控制》中5.2要求或《数据的统计处理和解释正态样本离群值的判断和处理》相关规定。如发现异常值应认真分析数据是否正常，并通过重测或比对检测等手段确定。</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3.</w:t>
      </w:r>
      <w:r>
        <w:rPr>
          <w:rFonts w:hint="eastAsia" w:ascii="仿宋_GB2312" w:hAnsi="仿宋_GB2312" w:eastAsia="仿宋_GB2312"/>
          <w:kern w:val="0"/>
          <w:sz w:val="32"/>
          <w:szCs w:val="32"/>
        </w:rPr>
        <w:t>质量控制结果不符合相关要求，相关样品检测结果无效，需重新检测。完成所需质量控制工作所产生的费用包含在报价中，不再单列</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样本离群值的判断和处理</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相关规定。如发现异常值应认真分析数据是否正常，并通过重测或比对检测等手段确定。</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黑体" w:hAnsi="黑体" w:eastAsia="黑体"/>
          <w:b w:val="0"/>
          <w:bCs w:val="0"/>
          <w:kern w:val="0"/>
          <w:sz w:val="32"/>
          <w:szCs w:val="32"/>
          <w:lang w:val="en-US" w:eastAsia="zh-CN"/>
        </w:rPr>
      </w:pPr>
      <w:r>
        <w:rPr>
          <w:rFonts w:hint="eastAsia" w:ascii="黑体" w:hAnsi="黑体" w:eastAsia="黑体"/>
          <w:b w:val="0"/>
          <w:bCs w:val="0"/>
          <w:kern w:val="0"/>
          <w:sz w:val="32"/>
          <w:szCs w:val="32"/>
          <w:lang w:val="en-US" w:eastAsia="zh-CN"/>
        </w:rPr>
        <w:t>三、</w:t>
      </w:r>
      <w:r>
        <w:rPr>
          <w:rFonts w:hint="eastAsia" w:ascii="黑体" w:hAnsi="黑体" w:eastAsia="黑体"/>
          <w:b w:val="0"/>
          <w:bCs w:val="0"/>
          <w:kern w:val="0"/>
          <w:sz w:val="32"/>
          <w:szCs w:val="32"/>
        </w:rPr>
        <w:t>成果提交</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rPr>
        <w:t>承担监测工作的成交人需参照</w:t>
      </w:r>
      <w:r>
        <w:rPr>
          <w:rFonts w:hint="eastAsia" w:ascii="仿宋_GB2312" w:hAnsi="仿宋_GB2312" w:eastAsia="仿宋_GB2312"/>
          <w:i w:val="0"/>
          <w:iCs w:val="0"/>
          <w:color w:val="000000"/>
          <w:spacing w:val="0"/>
          <w:kern w:val="0"/>
          <w:sz w:val="32"/>
          <w:szCs w:val="32"/>
          <w:shd w:val="clear" w:color="auto" w:fill="FFFFFF"/>
          <w:lang w:val="en-US" w:eastAsia="zh-CN" w:bidi="ar"/>
        </w:rPr>
        <w:t>福建省水产养殖尾水排放标准（DB35/2160—2023）</w:t>
      </w:r>
      <w:r>
        <w:rPr>
          <w:rFonts w:hint="eastAsia" w:ascii="仿宋_GB2312" w:hAnsi="仿宋_GB2312" w:eastAsia="仿宋_GB2312"/>
          <w:kern w:val="0"/>
          <w:sz w:val="32"/>
          <w:szCs w:val="32"/>
        </w:rPr>
        <w:t>判断养殖尾水是否达标排放，并于监测月次月10日前将检测数据、检测报告、现场质控影像资料报送至惠安县农业农村局。</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黑体" w:hAnsi="黑体" w:eastAsia="黑体"/>
          <w:b w:val="0"/>
          <w:bCs w:val="0"/>
          <w:kern w:val="0"/>
          <w:sz w:val="32"/>
          <w:szCs w:val="32"/>
          <w:lang w:val="en-US" w:eastAsia="zh-CN"/>
        </w:rPr>
      </w:pPr>
      <w:r>
        <w:rPr>
          <w:rFonts w:hint="eastAsia" w:ascii="黑体" w:hAnsi="黑体" w:eastAsia="黑体"/>
          <w:b w:val="0"/>
          <w:bCs w:val="0"/>
          <w:kern w:val="0"/>
          <w:sz w:val="32"/>
          <w:szCs w:val="32"/>
          <w:lang w:val="en-US" w:eastAsia="zh-CN"/>
        </w:rPr>
        <w:t>四、资质要求</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lang w:eastAsia="zh-CN"/>
        </w:rPr>
        <w:t>（一）</w:t>
      </w:r>
      <w:r>
        <w:rPr>
          <w:rFonts w:hint="eastAsia" w:ascii="仿宋_GB2312" w:hAnsi="仿宋_GB2312" w:eastAsia="仿宋_GB2312"/>
          <w:kern w:val="0"/>
          <w:sz w:val="32"/>
          <w:szCs w:val="32"/>
        </w:rPr>
        <w:t>监测工作承担单位具有国家或省市场监管部门颁发的《检验检测机构资质认定证书》（CMA），且投标人所提供的《检验检测机构资质认定证书》通过计量认证的检测项目中必须包含询价采购清单目录内所有检测项目。</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检测人员须经过相应的检测项目上岗培训，并取得相应的上岗证。监测工作承担单位应具备必要的调查取样、检测分析的仪器设备，并经过计量检定、校准或自校，技术指标满足标准技术规范要求。</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（二）</w:t>
      </w:r>
      <w:r>
        <w:rPr>
          <w:rFonts w:hint="eastAsia" w:ascii="仿宋_GB2312" w:hAnsi="仿宋_GB2312" w:eastAsia="仿宋_GB2312"/>
          <w:kern w:val="0"/>
          <w:sz w:val="32"/>
          <w:szCs w:val="32"/>
        </w:rPr>
        <w:t>必须符合政府采购法实施条例第十九条第二款规定条件、不得被列入财政部政府采购严重违法失信行为记录名单、不得被人民法院列入生效的失信被执行人名单</w:t>
      </w:r>
      <w:bookmarkStart w:id="1" w:name="_GoBack"/>
      <w:bookmarkEnd w:id="1"/>
      <w:r>
        <w:rPr>
          <w:rFonts w:hint="eastAsia" w:ascii="仿宋_GB2312" w:hAnsi="仿宋_GB2312" w:eastAsia="仿宋_GB2312"/>
          <w:kern w:val="0"/>
          <w:sz w:val="32"/>
          <w:szCs w:val="32"/>
        </w:rPr>
        <w:t>、不得被列入重大税收违法案件当事人名单。（供应商应逐项提供书面承诺）。</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rPr>
          <w:rFonts w:hint="eastAsia" w:ascii="黑体" w:hAnsi="黑体" w:eastAsia="黑体"/>
          <w:b w:val="0"/>
          <w:bCs w:val="0"/>
          <w:kern w:val="0"/>
          <w:sz w:val="32"/>
          <w:szCs w:val="32"/>
          <w:lang w:val="en-US" w:eastAsia="zh-CN"/>
        </w:rPr>
      </w:pPr>
      <w:r>
        <w:rPr>
          <w:rFonts w:hint="eastAsia" w:ascii="黑体" w:hAnsi="黑体" w:eastAsia="黑体"/>
          <w:b w:val="0"/>
          <w:bCs w:val="0"/>
          <w:kern w:val="0"/>
          <w:sz w:val="32"/>
          <w:szCs w:val="32"/>
          <w:lang w:val="en-US" w:eastAsia="zh-CN"/>
        </w:rPr>
        <w:t>五、本项目不接受联合体投标。</w:t>
      </w:r>
    </w:p>
    <w:p>
      <w:pPr>
        <w:keepNext w:val="0"/>
        <w:keepLines w:val="0"/>
        <w:pageBreakBefore w:val="0"/>
        <w:widowControl w:val="0"/>
        <w:shd w:val="clear" w:color="auto" w:fill="auto"/>
        <w:kinsoku/>
        <w:wordWrap/>
        <w:overflowPunct/>
        <w:topLinePunct w:val="0"/>
        <w:autoSpaceDE w:val="0"/>
        <w:autoSpaceDN w:val="0"/>
        <w:bidi w:val="0"/>
        <w:adjustRightInd/>
        <w:snapToGrid/>
        <w:spacing w:beforeAutospacing="0" w:afterAutospacing="0" w:line="600" w:lineRule="exact"/>
        <w:ind w:firstLine="640" w:firstLineChars="200"/>
        <w:jc w:val="left"/>
        <w:textAlignment w:val="auto"/>
      </w:pPr>
      <w:r>
        <w:rPr>
          <w:rFonts w:hint="eastAsia" w:ascii="黑体" w:hAnsi="黑体" w:eastAsia="黑体"/>
          <w:b w:val="0"/>
          <w:bCs w:val="0"/>
          <w:kern w:val="0"/>
          <w:sz w:val="32"/>
          <w:szCs w:val="32"/>
          <w:lang w:val="en-US" w:eastAsia="zh-CN"/>
        </w:rPr>
        <w:t>六、本项目不接受任何形式的转包。如有发现，采购人有权单方中止合作，且成交人必须赔偿由此给采购人带来的一切损失。</w:t>
      </w:r>
    </w:p>
    <w:sectPr>
      <w:pgSz w:w="11906" w:h="16838"/>
      <w:pgMar w:top="1757"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MTM0MWZhNGQxNTRkM2U0NTk2NDQxYzAwODRhMjIifQ=="/>
  </w:docVars>
  <w:rsids>
    <w:rsidRoot w:val="015B5D63"/>
    <w:rsid w:val="015B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标题1"/>
    <w:basedOn w:val="1"/>
    <w:autoRedefine/>
    <w:qFormat/>
    <w:uiPriority w:val="0"/>
    <w:pPr>
      <w:spacing w:before="240" w:beforeAutospacing="0" w:after="60" w:afterAutospacing="0"/>
      <w:jc w:val="center"/>
      <w:outlineLvl w:val="0"/>
    </w:pPr>
    <w:rPr>
      <w:rFonts w:ascii="Cambria" w:hAnsi="Cambria"/>
      <w:b/>
      <w:bCs/>
      <w:kern w:val="0"/>
      <w:sz w:val="32"/>
      <w:szCs w:val="32"/>
    </w:rPr>
  </w:style>
  <w:style w:type="paragraph" w:customStyle="1" w:styleId="5">
    <w:name w:val="PlainText"/>
    <w:basedOn w:val="1"/>
    <w:autoRedefine/>
    <w:qFormat/>
    <w:uiPriority w:val="0"/>
    <w:pPr>
      <w:jc w:val="both"/>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2024-03-26T00:26:00Z</dcterms:created>
  <dc:creator>c</dc:creator>
  <cp:lastModifiedBy>c</cp:lastModifiedBy>
  <dcterms:modified xsi:type="dcterms:W3CDTF">2024-03-26T00:28:42Z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BAD4672E9EC347B3B1AF913D048ACDDB_11</vt:lpwstr>
  </property>
</Properties>
</file>