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D0824F">
      <w:pPr>
        <w:pStyle w:val="3"/>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sz w:val="44"/>
          <w:szCs w:val="44"/>
        </w:rPr>
        <w:t>惠安县贯彻落实泉州市推进福厦泉要素</w:t>
      </w:r>
    </w:p>
    <w:p w14:paraId="5CFFA43E">
      <w:pPr>
        <w:pStyle w:val="3"/>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sz w:val="44"/>
          <w:szCs w:val="44"/>
        </w:rPr>
        <w:t>市场化配置综合改革试点行动方案的实施方案</w:t>
      </w:r>
    </w:p>
    <w:p w14:paraId="480EFD7C">
      <w:pPr>
        <w:pStyle w:val="3"/>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楷体_GB2312" w:hAnsi="楷体_GB2312" w:eastAsia="楷体_GB2312" w:cs="楷体_GB2312"/>
          <w:spacing w:val="5"/>
          <w:sz w:val="32"/>
          <w:szCs w:val="32"/>
          <w:lang w:eastAsia="zh-CN"/>
        </w:rPr>
      </w:pPr>
      <w:r>
        <w:rPr>
          <w:rFonts w:hint="eastAsia" w:ascii="楷体_GB2312" w:hAnsi="楷体_GB2312" w:eastAsia="楷体_GB2312" w:cs="楷体_GB2312"/>
          <w:spacing w:val="5"/>
          <w:sz w:val="32"/>
          <w:szCs w:val="32"/>
          <w:lang w:eastAsia="zh-CN"/>
        </w:rPr>
        <w:t>（征求意见稿）</w:t>
      </w:r>
    </w:p>
    <w:p w14:paraId="2E194C49">
      <w:pPr>
        <w:pStyle w:val="3"/>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spacing w:val="5"/>
          <w:sz w:val="43"/>
          <w:szCs w:val="43"/>
          <w:lang w:eastAsia="zh-CN"/>
        </w:rPr>
      </w:pPr>
    </w:p>
    <w:p w14:paraId="3C86DFBC">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仿宋_GB2312"/>
          <w:color w:val="auto"/>
          <w:spacing w:val="0"/>
          <w:position w:val="0"/>
          <w:sz w:val="32"/>
          <w:szCs w:val="32"/>
        </w:rPr>
      </w:pPr>
      <w:r>
        <w:rPr>
          <w:rFonts w:hint="eastAsia" w:ascii="Times New Roman" w:hAnsi="Times New Roman" w:eastAsia="仿宋_GB2312" w:cs="仿宋_GB2312"/>
          <w:color w:val="auto"/>
          <w:spacing w:val="0"/>
          <w:position w:val="0"/>
          <w:sz w:val="32"/>
          <w:szCs w:val="32"/>
          <w:lang w:eastAsia="zh-CN"/>
        </w:rPr>
        <w:t>为贯彻落实《泉州市人民政府办公室关于印发泉州市推进福厦泉要素市场化配置综合改革试点的通知》（泉政办〔2026〕8号）文件</w:t>
      </w:r>
      <w:r>
        <w:rPr>
          <w:rFonts w:hint="eastAsia" w:ascii="Times New Roman" w:hAnsi="Times New Roman" w:eastAsia="仿宋_GB2312" w:cs="仿宋_GB2312"/>
          <w:color w:val="auto"/>
          <w:spacing w:val="0"/>
          <w:position w:val="0"/>
          <w:sz w:val="32"/>
          <w:szCs w:val="32"/>
        </w:rPr>
        <w:t>精神，</w:t>
      </w:r>
      <w:r>
        <w:rPr>
          <w:rFonts w:hint="eastAsia" w:ascii="Times New Roman" w:hAnsi="Times New Roman" w:eastAsia="仿宋_GB2312" w:cs="仿宋_GB2312"/>
          <w:color w:val="auto"/>
          <w:spacing w:val="0"/>
          <w:position w:val="0"/>
          <w:sz w:val="32"/>
          <w:szCs w:val="32"/>
          <w:lang w:eastAsia="zh-CN"/>
        </w:rPr>
        <w:t>扎实</w:t>
      </w:r>
      <w:r>
        <w:rPr>
          <w:rFonts w:hint="eastAsia" w:ascii="Times New Roman" w:hAnsi="Times New Roman" w:eastAsia="仿宋_GB2312" w:cs="仿宋_GB2312"/>
          <w:color w:val="auto"/>
          <w:spacing w:val="0"/>
          <w:position w:val="0"/>
          <w:sz w:val="32"/>
          <w:szCs w:val="32"/>
        </w:rPr>
        <w:t>推进福厦泉要素市场化配置综合改革试点建设</w:t>
      </w:r>
      <w:r>
        <w:rPr>
          <w:rFonts w:hint="eastAsia" w:ascii="Times New Roman" w:hAnsi="Times New Roman" w:eastAsia="仿宋_GB2312" w:cs="仿宋_GB2312"/>
          <w:color w:val="auto"/>
          <w:spacing w:val="0"/>
          <w:position w:val="0"/>
          <w:sz w:val="32"/>
          <w:szCs w:val="32"/>
          <w:lang w:eastAsia="zh-CN"/>
        </w:rPr>
        <w:t>各项任务落地</w:t>
      </w:r>
      <w:r>
        <w:rPr>
          <w:rFonts w:hint="eastAsia" w:ascii="Times New Roman" w:hAnsi="Times New Roman" w:eastAsia="仿宋_GB2312" w:cs="仿宋_GB2312"/>
          <w:color w:val="auto"/>
          <w:spacing w:val="0"/>
          <w:position w:val="0"/>
          <w:sz w:val="32"/>
          <w:szCs w:val="32"/>
        </w:rPr>
        <w:t>，结合我</w:t>
      </w:r>
      <w:r>
        <w:rPr>
          <w:rFonts w:hint="eastAsia" w:ascii="Times New Roman" w:hAnsi="Times New Roman" w:eastAsia="仿宋_GB2312" w:cs="仿宋_GB2312"/>
          <w:color w:val="auto"/>
          <w:spacing w:val="0"/>
          <w:position w:val="0"/>
          <w:sz w:val="32"/>
          <w:szCs w:val="32"/>
          <w:lang w:eastAsia="zh-CN"/>
        </w:rPr>
        <w:t>县</w:t>
      </w:r>
      <w:r>
        <w:rPr>
          <w:rFonts w:hint="eastAsia" w:ascii="Times New Roman" w:hAnsi="Times New Roman" w:eastAsia="仿宋_GB2312" w:cs="仿宋_GB2312"/>
          <w:color w:val="auto"/>
          <w:spacing w:val="0"/>
          <w:position w:val="0"/>
          <w:sz w:val="32"/>
          <w:szCs w:val="32"/>
        </w:rPr>
        <w:t>实际，制定本</w:t>
      </w:r>
      <w:r>
        <w:rPr>
          <w:rFonts w:hint="eastAsia" w:ascii="Times New Roman" w:hAnsi="Times New Roman" w:eastAsia="仿宋_GB2312" w:cs="仿宋_GB2312"/>
          <w:color w:val="auto"/>
          <w:spacing w:val="0"/>
          <w:position w:val="0"/>
          <w:sz w:val="32"/>
          <w:szCs w:val="32"/>
          <w:lang w:eastAsia="zh-CN"/>
        </w:rPr>
        <w:t>实施</w:t>
      </w:r>
      <w:r>
        <w:rPr>
          <w:rFonts w:hint="eastAsia" w:ascii="Times New Roman" w:hAnsi="Times New Roman" w:eastAsia="仿宋_GB2312" w:cs="仿宋_GB2312"/>
          <w:color w:val="auto"/>
          <w:spacing w:val="0"/>
          <w:position w:val="0"/>
          <w:sz w:val="32"/>
          <w:szCs w:val="32"/>
        </w:rPr>
        <w:t>方案。</w:t>
      </w:r>
    </w:p>
    <w:p w14:paraId="023EDEC6">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8" w:firstLineChars="200"/>
        <w:jc w:val="both"/>
        <w:textAlignment w:val="baseline"/>
        <w:outlineLvl w:val="0"/>
        <w:rPr>
          <w:rFonts w:ascii="黑体" w:hAnsi="黑体" w:eastAsia="黑体" w:cs="黑体"/>
          <w:color w:val="auto"/>
          <w:sz w:val="32"/>
          <w:szCs w:val="32"/>
        </w:rPr>
      </w:pPr>
      <w:r>
        <w:rPr>
          <w:rFonts w:ascii="黑体" w:hAnsi="黑体" w:eastAsia="黑体" w:cs="黑体"/>
          <w:color w:val="auto"/>
          <w:spacing w:val="2"/>
          <w:sz w:val="32"/>
          <w:szCs w:val="32"/>
        </w:rPr>
        <w:t>一、工作目标</w:t>
      </w:r>
    </w:p>
    <w:p w14:paraId="253DB038">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0" w:firstLineChars="200"/>
        <w:jc w:val="both"/>
        <w:textAlignment w:val="baseline"/>
        <w:outlineLvl w:val="0"/>
        <w:rPr>
          <w:rFonts w:hint="eastAsia" w:ascii="Times New Roman" w:hAnsi="Times New Roman" w:eastAsia="仿宋_GB2312" w:cs="仿宋_GB2312"/>
          <w:color w:val="auto"/>
          <w:spacing w:val="0"/>
          <w:position w:val="0"/>
          <w:sz w:val="32"/>
          <w:szCs w:val="32"/>
          <w:lang w:eastAsia="zh-CN"/>
        </w:rPr>
      </w:pPr>
      <w:r>
        <w:rPr>
          <w:rFonts w:hint="eastAsia" w:ascii="Times New Roman" w:hAnsi="Times New Roman" w:eastAsia="仿宋_GB2312" w:cs="仿宋_GB2312"/>
          <w:color w:val="auto"/>
          <w:spacing w:val="0"/>
          <w:position w:val="0"/>
          <w:sz w:val="32"/>
          <w:szCs w:val="32"/>
          <w:lang w:eastAsia="zh-CN"/>
        </w:rPr>
        <w:t xml:space="preserve"> 以习近平新时代中国特色社会主义思想为指导，全面贯彻落实党的二十大和二十届历次全会精神，坚持稳中求进工作总基调，完整、准确、全面贯彻新发展理念，传承弘扬、创新发展“晋江经验”，以深化要素赋能民营经济为导向，聚焦土地、资本、技术、数据、人才、资源环境等各类生产要素，从“优势寻突破、劣势补短板”双维度发力，推动要素供给与县域重点产业链需求精准匹配。到2027年，各类要素市场化配置体制机制建设取得重要进展，阻碍要素自主有序流动的制度障碍明显减少，重要领域和关键环节改革取得标志性成果，形成一批可复制可推广的改革创新措施，为发展新质生产力、融入全国统一大市场建设提供坚强支撑。</w:t>
      </w:r>
    </w:p>
    <w:p w14:paraId="50E8D2EF">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56" w:firstLineChars="200"/>
        <w:jc w:val="both"/>
        <w:textAlignment w:val="baseline"/>
        <w:outlineLvl w:val="0"/>
        <w:rPr>
          <w:rFonts w:ascii="黑体" w:hAnsi="黑体" w:eastAsia="黑体" w:cs="黑体"/>
          <w:sz w:val="32"/>
          <w:szCs w:val="32"/>
        </w:rPr>
      </w:pPr>
      <w:r>
        <w:rPr>
          <w:rFonts w:ascii="黑体" w:hAnsi="黑体" w:eastAsia="黑体" w:cs="黑体"/>
          <w:spacing w:val="4"/>
          <w:sz w:val="32"/>
          <w:szCs w:val="32"/>
        </w:rPr>
        <w:t>二、重点攻坚任务</w:t>
      </w:r>
    </w:p>
    <w:p w14:paraId="08B74BA8">
      <w:pPr>
        <w:keepNext w:val="0"/>
        <w:keepLines w:val="0"/>
        <w:pageBreakBefore w:val="0"/>
        <w:widowControl w:val="0"/>
        <w:kinsoku/>
        <w:wordWrap/>
        <w:overflowPunct w:val="0"/>
        <w:topLinePunct w:val="0"/>
        <w:autoSpaceDE/>
        <w:autoSpaceDN/>
        <w:bidi w:val="0"/>
        <w:adjustRightInd/>
        <w:snapToGrid/>
        <w:spacing w:before="0" w:line="560" w:lineRule="exact"/>
        <w:ind w:firstLine="640" w:firstLineChars="200"/>
        <w:jc w:val="both"/>
        <w:textAlignment w:val="auto"/>
        <w:rPr>
          <w:rFonts w:ascii="楷体_GB2312" w:hAnsi="楷体_GB2312" w:eastAsia="楷体_GB2312" w:cs="Times New Roman"/>
          <w:b w:val="0"/>
          <w:bCs/>
          <w:snapToGrid/>
          <w:kern w:val="0"/>
          <w:sz w:val="32"/>
          <w:szCs w:val="32"/>
          <w:lang w:val="en-US" w:eastAsia="en-US" w:bidi="ar-SA"/>
        </w:rPr>
      </w:pPr>
      <w:r>
        <w:rPr>
          <w:rFonts w:ascii="楷体_GB2312" w:hAnsi="楷体_GB2312" w:eastAsia="楷体_GB2312" w:cs="Times New Roman"/>
          <w:b w:val="0"/>
          <w:bCs/>
          <w:snapToGrid/>
          <w:kern w:val="0"/>
          <w:sz w:val="32"/>
          <w:szCs w:val="32"/>
          <w:lang w:val="en-US" w:eastAsia="en-US" w:bidi="ar-SA"/>
        </w:rPr>
        <w:t>（一）技术要素：健全科技成果转化与研发投入机制</w:t>
      </w:r>
    </w:p>
    <w:p w14:paraId="2A1166C0">
      <w:pPr>
        <w:keepNext w:val="0"/>
        <w:keepLines w:val="0"/>
        <w:pageBreakBefore w:val="0"/>
        <w:widowControl w:val="0"/>
        <w:tabs>
          <w:tab w:val="left" w:pos="2138"/>
        </w:tabs>
        <w:kinsoku/>
        <w:wordWrap/>
        <w:overflowPunct w:val="0"/>
        <w:topLinePunct w:val="0"/>
        <w:bidi w:val="0"/>
        <w:spacing w:line="560" w:lineRule="exact"/>
        <w:ind w:firstLine="671" w:firstLineChars="200"/>
        <w:jc w:val="both"/>
        <w:rPr>
          <w:rStyle w:val="11"/>
          <w:rFonts w:hint="eastAsia" w:ascii="Arial" w:hAnsi="Arial" w:cs="Times New Roman"/>
          <w:snapToGrid w:val="0"/>
          <w:color w:val="000000"/>
          <w:kern w:val="0"/>
          <w:sz w:val="32"/>
          <w:szCs w:val="32"/>
          <w:highlight w:val="red"/>
          <w:lang w:val="en-US" w:eastAsia="zh-CN" w:bidi="ar-SA"/>
        </w:rPr>
      </w:pPr>
      <w:r>
        <w:rPr>
          <w:rFonts w:hint="eastAsia" w:ascii="仿宋_GB2312" w:hAnsi="仿宋_GB2312" w:eastAsia="仿宋_GB2312" w:cs="仿宋_GB2312"/>
          <w:b/>
          <w:bCs/>
          <w:spacing w:val="7"/>
          <w:sz w:val="32"/>
          <w:szCs w:val="32"/>
          <w:lang w:val="en-US" w:eastAsia="zh-CN"/>
        </w:rPr>
        <w:t>1.科技成果转化。</w:t>
      </w:r>
      <w:r>
        <w:rPr>
          <w:rFonts w:hint="eastAsia" w:ascii="Times New Roman" w:hAnsi="Times New Roman" w:eastAsia="仿宋_GB2312" w:cs="仿宋_GB2312"/>
          <w:color w:val="auto"/>
          <w:spacing w:val="0"/>
          <w:position w:val="0"/>
          <w:sz w:val="32"/>
          <w:szCs w:val="32"/>
          <w:lang w:eastAsia="zh-CN"/>
        </w:rPr>
        <w:t>聚焦县域重点产业建设科技成果中试验证平台，提供小批量试产、工艺验证服务，推动支持企业申领使用创新券，推动先进适用成果在惠安落地转化。</w:t>
      </w:r>
    </w:p>
    <w:p w14:paraId="1A47B30C">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1"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b/>
          <w:bCs/>
          <w:spacing w:val="7"/>
          <w:sz w:val="32"/>
          <w:szCs w:val="32"/>
          <w:lang w:val="en-US" w:eastAsia="zh-CN"/>
        </w:rPr>
        <w:t>2.科技管理体制改革。</w:t>
      </w:r>
      <w:r>
        <w:rPr>
          <w:rFonts w:hint="eastAsia" w:ascii="Times New Roman" w:hAnsi="Times New Roman" w:eastAsia="仿宋_GB2312" w:cs="仿宋_GB2312"/>
          <w:color w:val="auto"/>
          <w:spacing w:val="0"/>
          <w:position w:val="0"/>
          <w:sz w:val="32"/>
          <w:szCs w:val="32"/>
          <w:lang w:eastAsia="zh-CN"/>
        </w:rPr>
        <w:t>鼓励和引导信和新材料等龙头企业牵头共建企业创新联合体，带动上下游企业协同创新，推动产业链转型升级。鼓励我县企业参与国际标准制修订工作。支持企事业单位联合台资企业、台湾高校院所申报省市级科技计划项目。</w:t>
      </w:r>
    </w:p>
    <w:p w14:paraId="09EA1A51">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1"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b/>
          <w:bCs/>
          <w:spacing w:val="7"/>
          <w:sz w:val="32"/>
          <w:szCs w:val="32"/>
          <w:lang w:val="en-US" w:eastAsia="zh-CN"/>
        </w:rPr>
        <w:t>3.企业研发投资。</w:t>
      </w:r>
      <w:r>
        <w:rPr>
          <w:rFonts w:hint="eastAsia" w:ascii="Times New Roman" w:hAnsi="Times New Roman" w:eastAsia="仿宋_GB2312" w:cs="仿宋_GB2312"/>
          <w:color w:val="auto"/>
          <w:spacing w:val="0"/>
          <w:position w:val="0"/>
          <w:sz w:val="32"/>
          <w:szCs w:val="32"/>
          <w:lang w:eastAsia="zh-CN"/>
        </w:rPr>
        <w:t>引导辖区金融机构建立与科创企业特点相适应的差异化评价指标，推广企业创新积分制，推出覆盖科创企业全生命周期的科技金融产品，创新“质量融资+知识产权质押”等模式。</w:t>
      </w:r>
    </w:p>
    <w:p w14:paraId="08490BAD">
      <w:pPr>
        <w:keepNext w:val="0"/>
        <w:keepLines w:val="0"/>
        <w:pageBreakBefore w:val="0"/>
        <w:widowControl w:val="0"/>
        <w:kinsoku/>
        <w:wordWrap/>
        <w:overflowPunct w:val="0"/>
        <w:topLinePunct w:val="0"/>
        <w:autoSpaceDE/>
        <w:autoSpaceDN/>
        <w:bidi w:val="0"/>
        <w:adjustRightInd/>
        <w:snapToGrid/>
        <w:spacing w:before="0" w:line="560" w:lineRule="exact"/>
        <w:ind w:firstLine="640" w:firstLineChars="200"/>
        <w:jc w:val="both"/>
        <w:textAlignment w:val="auto"/>
        <w:rPr>
          <w:rFonts w:hint="eastAsia" w:ascii="楷体_GB2312" w:hAnsi="楷体_GB2312" w:eastAsia="楷体_GB2312" w:cs="Times New Roman"/>
          <w:b w:val="0"/>
          <w:bCs/>
          <w:snapToGrid/>
          <w:kern w:val="0"/>
          <w:sz w:val="32"/>
          <w:szCs w:val="32"/>
          <w:lang w:val="en-US" w:eastAsia="en-US" w:bidi="ar-SA"/>
        </w:rPr>
      </w:pPr>
      <w:r>
        <w:rPr>
          <w:rFonts w:ascii="楷体_GB2312" w:hAnsi="楷体_GB2312" w:eastAsia="楷体_GB2312" w:cs="Times New Roman"/>
          <w:b w:val="0"/>
          <w:bCs/>
          <w:snapToGrid/>
          <w:kern w:val="0"/>
          <w:sz w:val="32"/>
          <w:szCs w:val="32"/>
          <w:lang w:val="en-US" w:eastAsia="en-US" w:bidi="ar-SA"/>
        </w:rPr>
        <w:t>（二）土地要素：深化产业用地市场化配置改革</w:t>
      </w:r>
    </w:p>
    <w:p w14:paraId="1C6B8314">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1"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b/>
          <w:bCs/>
          <w:spacing w:val="7"/>
          <w:sz w:val="32"/>
          <w:szCs w:val="32"/>
          <w:lang w:val="en-US" w:eastAsia="zh-CN"/>
        </w:rPr>
        <w:t>1.土地资源配置改革。</w:t>
      </w:r>
      <w:r>
        <w:rPr>
          <w:rFonts w:hint="eastAsia" w:ascii="Times New Roman" w:hAnsi="Times New Roman" w:eastAsia="仿宋_GB2312" w:cs="仿宋_GB2312"/>
          <w:color w:val="auto"/>
          <w:spacing w:val="0"/>
          <w:position w:val="0"/>
          <w:sz w:val="32"/>
          <w:szCs w:val="32"/>
          <w:lang w:eastAsia="zh-CN"/>
        </w:rPr>
        <w:t>修订完善辋川、黄塘－紫山全域土地综合整治方案，力争2026年底前获批；同步完成5项重点专题研究，健全配套政策。依据上级政策科学调整永久基本农田布局，解决零散错划问题，确保集中连片、面积不降。推行农转用“预审批”和容缺审查，并联推进多部门审查，压缩前期时限。2026年底前完成国土空间规划动态维护，衔接市级指标流量库，动态调整城镇开发边界规模，保障近期项目落地。</w:t>
      </w:r>
    </w:p>
    <w:p w14:paraId="6F5922C4">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1"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b/>
          <w:bCs/>
          <w:spacing w:val="7"/>
          <w:sz w:val="32"/>
          <w:szCs w:val="32"/>
          <w:lang w:val="en-US" w:eastAsia="zh-CN"/>
        </w:rPr>
        <w:t>2.产业用地供应机制。</w:t>
      </w:r>
      <w:r>
        <w:rPr>
          <w:rFonts w:hint="eastAsia" w:ascii="Times New Roman" w:hAnsi="Times New Roman" w:eastAsia="仿宋_GB2312" w:cs="仿宋_GB2312"/>
          <w:color w:val="auto"/>
          <w:spacing w:val="0"/>
          <w:position w:val="0"/>
          <w:sz w:val="32"/>
          <w:szCs w:val="32"/>
          <w:lang w:eastAsia="zh-CN"/>
        </w:rPr>
        <w:t>实行产业用地先租后让、弹性年期出让、租让结合。深化工业用地“标准地”改革，在省级以上开发区统一组织开展区域评估，完善“标准地”控制指标体系，支持通过土地预告登记实现建设用地使用权转让。创新“混合产业用地+土地用途灵活转换”方式，探索混合供地和功能复合的应用场景。用好用足国家赋予的盘活利用低效用地试点政策，深化“工改工”“工改商”改革，按市级规定稳妥推进工商业用地使用权续期工作。</w:t>
      </w:r>
    </w:p>
    <w:p w14:paraId="6015C53A">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1"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b/>
          <w:bCs/>
          <w:spacing w:val="7"/>
          <w:sz w:val="32"/>
          <w:szCs w:val="32"/>
          <w:lang w:val="en-US" w:eastAsia="zh-CN"/>
        </w:rPr>
        <w:t>3.闲置资源盘活机制。</w:t>
      </w:r>
      <w:r>
        <w:rPr>
          <w:rFonts w:hint="eastAsia" w:ascii="Times New Roman" w:hAnsi="Times New Roman" w:eastAsia="仿宋_GB2312" w:cs="仿宋_GB2312"/>
          <w:color w:val="auto"/>
          <w:spacing w:val="0"/>
          <w:position w:val="0"/>
          <w:sz w:val="32"/>
          <w:szCs w:val="32"/>
          <w:lang w:eastAsia="zh-CN"/>
        </w:rPr>
        <w:t>探索闲置农房盘活利用有效路径，优化市场准入、审核审批、证照办理、事中事后监管措施。</w:t>
      </w:r>
    </w:p>
    <w:p w14:paraId="79997387">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1"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b/>
          <w:bCs/>
          <w:spacing w:val="7"/>
          <w:sz w:val="32"/>
          <w:szCs w:val="32"/>
          <w:lang w:val="en-US" w:eastAsia="zh-CN"/>
        </w:rPr>
        <w:t>4.海域立体利用管理。</w:t>
      </w:r>
      <w:r>
        <w:rPr>
          <w:rFonts w:hint="eastAsia" w:ascii="Times New Roman" w:hAnsi="Times New Roman" w:eastAsia="仿宋_GB2312" w:cs="仿宋_GB2312"/>
          <w:color w:val="auto"/>
          <w:spacing w:val="0"/>
          <w:position w:val="0"/>
          <w:sz w:val="32"/>
          <w:szCs w:val="32"/>
          <w:lang w:val="en-US" w:eastAsia="zh-CN"/>
        </w:rPr>
        <w:t>进一步规范项目用海审批管理，推进海域立体分层利用，提升海域资源节约集约利用水平。加快未批已填、已批未填等不同类型围填海历史遗留问题图斑的分类处置。</w:t>
      </w:r>
    </w:p>
    <w:p w14:paraId="6CF3B0EF">
      <w:pPr>
        <w:keepNext w:val="0"/>
        <w:keepLines w:val="0"/>
        <w:pageBreakBefore w:val="0"/>
        <w:widowControl w:val="0"/>
        <w:kinsoku/>
        <w:wordWrap/>
        <w:overflowPunct w:val="0"/>
        <w:topLinePunct w:val="0"/>
        <w:autoSpaceDE/>
        <w:autoSpaceDN/>
        <w:bidi w:val="0"/>
        <w:adjustRightInd/>
        <w:snapToGrid/>
        <w:spacing w:before="0" w:line="560" w:lineRule="exact"/>
        <w:ind w:firstLine="640" w:firstLineChars="200"/>
        <w:jc w:val="both"/>
        <w:textAlignment w:val="auto"/>
        <w:rPr>
          <w:rFonts w:ascii="楷体_GB2312" w:hAnsi="楷体_GB2312" w:eastAsia="楷体_GB2312" w:cs="Times New Roman"/>
          <w:b w:val="0"/>
          <w:bCs/>
          <w:snapToGrid/>
          <w:kern w:val="0"/>
          <w:sz w:val="32"/>
          <w:szCs w:val="32"/>
          <w:lang w:val="en-US" w:eastAsia="en-US" w:bidi="ar-SA"/>
        </w:rPr>
      </w:pPr>
      <w:r>
        <w:rPr>
          <w:rFonts w:ascii="楷体_GB2312" w:hAnsi="楷体_GB2312" w:eastAsia="楷体_GB2312" w:cs="Times New Roman"/>
          <w:b w:val="0"/>
          <w:bCs/>
          <w:snapToGrid/>
          <w:kern w:val="0"/>
          <w:sz w:val="32"/>
          <w:szCs w:val="32"/>
          <w:lang w:val="en-US" w:eastAsia="en-US" w:bidi="ar-SA"/>
        </w:rPr>
        <w:t>（三）人力资源要素：构建产业工人成长与人才集聚体系</w:t>
      </w:r>
    </w:p>
    <w:p w14:paraId="294E5D4F">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1"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b/>
          <w:bCs/>
          <w:spacing w:val="7"/>
          <w:sz w:val="32"/>
          <w:szCs w:val="32"/>
          <w:lang w:val="en-US" w:eastAsia="zh-CN"/>
        </w:rPr>
        <w:t>1.户籍与社保服务。</w:t>
      </w:r>
      <w:r>
        <w:rPr>
          <w:rFonts w:hint="eastAsia" w:ascii="Times New Roman" w:hAnsi="Times New Roman" w:eastAsia="仿宋_GB2312" w:cs="仿宋_GB2312"/>
          <w:color w:val="auto"/>
          <w:spacing w:val="0"/>
          <w:position w:val="0"/>
          <w:sz w:val="32"/>
          <w:szCs w:val="32"/>
          <w:lang w:val="en-US" w:eastAsia="zh-CN"/>
        </w:rPr>
        <w:t>健全以经常居住地登记户口制度，施行落户“自由办”，对全县户籍窗口实行“预约办”。建立健全公立医院、中小学编制动态调整机制。调整完善公租房管理制度，动态优化准入条件。深入推进社保经办服务数字化转型，推广在银行网点实现社保服务“就近办”。</w:t>
      </w:r>
    </w:p>
    <w:p w14:paraId="2E27BC73">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1"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b/>
          <w:bCs/>
          <w:spacing w:val="7"/>
          <w:sz w:val="32"/>
          <w:szCs w:val="32"/>
          <w:lang w:val="en-US" w:eastAsia="zh-CN"/>
        </w:rPr>
        <w:t>2.就业创业服务。</w:t>
      </w:r>
      <w:r>
        <w:rPr>
          <w:rFonts w:hint="eastAsia" w:ascii="Times New Roman" w:hAnsi="Times New Roman" w:eastAsia="仿宋_GB2312" w:cs="仿宋_GB2312"/>
          <w:color w:val="auto"/>
          <w:spacing w:val="0"/>
          <w:position w:val="0"/>
          <w:sz w:val="32"/>
          <w:szCs w:val="32"/>
          <w:lang w:val="en-US" w:eastAsia="zh-CN"/>
        </w:rPr>
        <w:t>促进职称制度与职业资格制度有效衔接，专业技术人员取得符合文件规定的职业资格证书，用人单位可根据相关任职文件和岗位空缺情况聘任相应的专业技术职务。高技能人才符合工程技术人才专业技术职称评价标准条件及业绩要求的，可参加工程系列专业技术职称评审。</w:t>
      </w:r>
    </w:p>
    <w:p w14:paraId="0A2C26BA">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1"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b/>
          <w:bCs/>
          <w:spacing w:val="7"/>
          <w:sz w:val="32"/>
          <w:szCs w:val="32"/>
          <w:lang w:val="en-US" w:eastAsia="zh-CN"/>
        </w:rPr>
        <w:t>3.人才引育评价。</w:t>
      </w:r>
      <w:r>
        <w:rPr>
          <w:rFonts w:hint="eastAsia" w:ascii="Times New Roman" w:hAnsi="Times New Roman" w:eastAsia="仿宋_GB2312" w:cs="仿宋_GB2312"/>
          <w:color w:val="auto"/>
          <w:spacing w:val="0"/>
          <w:position w:val="0"/>
          <w:sz w:val="32"/>
          <w:szCs w:val="32"/>
          <w:lang w:val="en-US" w:eastAsia="zh-CN"/>
        </w:rPr>
        <w:t>统筹盘活各类事业单位编制资源，用好高层次人才周转“编制池”，支持事业单位引进符合条件的高层次专业化人才。针对急需第一至第三层次人才，申请“直聘（特设）岗位”予以聘任，实行单列管理，待有岗位空缺时予以核销。健全人才评价机制，落实高层次人才自主认定相关工作，完善“以赛代评”等多种评价方式。</w:t>
      </w:r>
    </w:p>
    <w:p w14:paraId="3ACE5006">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1"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b/>
          <w:bCs/>
          <w:spacing w:val="7"/>
          <w:sz w:val="32"/>
          <w:szCs w:val="32"/>
          <w:lang w:val="en-US" w:eastAsia="zh-CN"/>
        </w:rPr>
        <w:t>4.海峡两岸人才。</w:t>
      </w:r>
      <w:r>
        <w:rPr>
          <w:rFonts w:hint="eastAsia" w:ascii="Times New Roman" w:hAnsi="Times New Roman" w:eastAsia="仿宋_GB2312" w:cs="仿宋_GB2312"/>
          <w:color w:val="auto"/>
          <w:spacing w:val="0"/>
          <w:position w:val="0"/>
          <w:sz w:val="32"/>
          <w:szCs w:val="32"/>
          <w:lang w:val="en-US" w:eastAsia="zh-CN"/>
        </w:rPr>
        <w:t>推进台湾职业资格和职业技能等级直接采认。鼓励台湾优秀毕业生来惠实习就业创业，支持台胞参评泉州市高层次人才及各级荣誉、奖项。允许台湾科研团队以“技术入股”形式参与泉州科技型企业。</w:t>
      </w:r>
    </w:p>
    <w:p w14:paraId="36D88632">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1" w:firstLineChars="200"/>
        <w:jc w:val="both"/>
        <w:textAlignment w:val="baseline"/>
        <w:rPr>
          <w:rStyle w:val="11"/>
          <w:rFonts w:ascii="Arial" w:hAnsi="Arial" w:cs="Times New Roman"/>
          <w:snapToGrid w:val="0"/>
          <w:color w:val="000000"/>
          <w:kern w:val="0"/>
          <w:sz w:val="32"/>
          <w:szCs w:val="32"/>
          <w:highlight w:val="red"/>
          <w:lang w:val="en-US" w:eastAsia="en-US" w:bidi="ar-SA"/>
        </w:rPr>
      </w:pPr>
      <w:r>
        <w:rPr>
          <w:rFonts w:hint="eastAsia" w:ascii="仿宋_GB2312" w:hAnsi="仿宋_GB2312" w:eastAsia="仿宋_GB2312" w:cs="仿宋_GB2312"/>
          <w:b/>
          <w:bCs/>
          <w:spacing w:val="7"/>
          <w:sz w:val="32"/>
          <w:szCs w:val="32"/>
          <w:lang w:val="en-US" w:eastAsia="zh-CN"/>
        </w:rPr>
        <w:t>5.境外人才执业就业。</w:t>
      </w:r>
      <w:r>
        <w:rPr>
          <w:rFonts w:hint="eastAsia" w:ascii="Times New Roman" w:hAnsi="Times New Roman" w:eastAsia="仿宋_GB2312" w:cs="仿宋_GB2312"/>
          <w:color w:val="auto"/>
          <w:spacing w:val="0"/>
          <w:position w:val="0"/>
          <w:sz w:val="32"/>
          <w:szCs w:val="32"/>
          <w:lang w:val="en-US" w:eastAsia="zh-CN"/>
        </w:rPr>
        <w:t>配合市级优化外国人来泉工作许可和工作类居留许可联动审批改革，引导我县企业享受外国人来泉就业“高效办成一件事”服务，推动外国人来华工作许可证与社会保障卡融合集成落地。对接落实高度便利化的境外专业人才执业相关制度，执行境外人员参加各类职业资格考试放宽政策（律师、新闻出版、医疗卫生、公证、司法鉴定等另有规定的，按相关规定执行）。</w:t>
      </w:r>
    </w:p>
    <w:p w14:paraId="2A28771C">
      <w:pPr>
        <w:keepNext w:val="0"/>
        <w:keepLines w:val="0"/>
        <w:pageBreakBefore w:val="0"/>
        <w:widowControl w:val="0"/>
        <w:kinsoku/>
        <w:wordWrap/>
        <w:overflowPunct w:val="0"/>
        <w:topLinePunct w:val="0"/>
        <w:autoSpaceDE/>
        <w:autoSpaceDN/>
        <w:bidi w:val="0"/>
        <w:adjustRightInd/>
        <w:snapToGrid/>
        <w:spacing w:before="0" w:line="560" w:lineRule="exact"/>
        <w:ind w:firstLine="640" w:firstLineChars="200"/>
        <w:jc w:val="both"/>
        <w:textAlignment w:val="auto"/>
        <w:rPr>
          <w:rFonts w:ascii="楷体_GB2312" w:hAnsi="楷体_GB2312" w:eastAsia="楷体_GB2312" w:cs="Times New Roman"/>
          <w:b w:val="0"/>
          <w:bCs/>
          <w:snapToGrid/>
          <w:kern w:val="0"/>
          <w:sz w:val="32"/>
          <w:szCs w:val="32"/>
          <w:lang w:val="en-US" w:eastAsia="en-US" w:bidi="ar-SA"/>
        </w:rPr>
      </w:pPr>
      <w:r>
        <w:rPr>
          <w:rFonts w:ascii="楷体_GB2312" w:hAnsi="楷体_GB2312" w:eastAsia="楷体_GB2312" w:cs="Times New Roman"/>
          <w:b w:val="0"/>
          <w:bCs/>
          <w:snapToGrid/>
          <w:kern w:val="0"/>
          <w:sz w:val="32"/>
          <w:szCs w:val="32"/>
          <w:lang w:val="en-US" w:eastAsia="en-US" w:bidi="ar-SA"/>
        </w:rPr>
        <w:t>（四）数据要素：推进公共数据与企业数据融合应用</w:t>
      </w:r>
    </w:p>
    <w:p w14:paraId="78044558">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1" w:firstLineChars="200"/>
        <w:jc w:val="both"/>
        <w:textAlignment w:val="baseline"/>
        <w:rPr>
          <w:rStyle w:val="11"/>
          <w:rFonts w:ascii="Arial" w:hAnsi="Arial" w:cs="Times New Roman"/>
          <w:snapToGrid w:val="0"/>
          <w:color w:val="000000"/>
          <w:kern w:val="0"/>
          <w:sz w:val="32"/>
          <w:szCs w:val="32"/>
          <w:highlight w:val="red"/>
          <w:lang w:val="en-US" w:eastAsia="en-US" w:bidi="ar-SA"/>
        </w:rPr>
      </w:pPr>
      <w:r>
        <w:rPr>
          <w:rFonts w:hint="eastAsia" w:ascii="仿宋_GB2312" w:hAnsi="仿宋_GB2312" w:eastAsia="仿宋_GB2312" w:cs="仿宋_GB2312"/>
          <w:b/>
          <w:bCs/>
          <w:spacing w:val="7"/>
          <w:sz w:val="32"/>
          <w:szCs w:val="32"/>
          <w:lang w:val="en-US" w:eastAsia="zh-CN"/>
        </w:rPr>
        <w:t>1.数据要素管理。</w:t>
      </w:r>
      <w:r>
        <w:rPr>
          <w:rFonts w:hint="eastAsia" w:ascii="Times New Roman" w:hAnsi="Times New Roman" w:eastAsia="仿宋_GB2312" w:cs="仿宋_GB2312"/>
          <w:color w:val="auto"/>
          <w:spacing w:val="0"/>
          <w:position w:val="0"/>
          <w:sz w:val="32"/>
          <w:szCs w:val="32"/>
          <w:lang w:val="en-US" w:eastAsia="zh-CN"/>
        </w:rPr>
        <w:t>提升公共数据归集、治理、共享等全生命周期基础服务能力，并探索面向本地企业的公共数据与企业数据融合应用试点。探索推进“整体授权+分领域授权+依场景授权”的混合型公共数据授权运营模式，深化企业服务“0证明”赋能民营经济场景建设。</w:t>
      </w:r>
    </w:p>
    <w:p w14:paraId="698EC98C">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1" w:firstLineChars="200"/>
        <w:jc w:val="both"/>
        <w:textAlignment w:val="baseline"/>
        <w:rPr>
          <w:rStyle w:val="11"/>
          <w:rFonts w:ascii="Arial" w:hAnsi="Arial" w:cs="Times New Roman"/>
          <w:snapToGrid w:val="0"/>
          <w:color w:val="000000"/>
          <w:kern w:val="0"/>
          <w:sz w:val="32"/>
          <w:szCs w:val="32"/>
          <w:highlight w:val="red"/>
          <w:lang w:val="en-US" w:eastAsia="en-US" w:bidi="ar-SA"/>
        </w:rPr>
      </w:pPr>
      <w:r>
        <w:rPr>
          <w:rFonts w:hint="eastAsia" w:ascii="仿宋_GB2312" w:hAnsi="仿宋_GB2312" w:eastAsia="仿宋_GB2312" w:cs="仿宋_GB2312"/>
          <w:b/>
          <w:bCs/>
          <w:spacing w:val="7"/>
          <w:sz w:val="32"/>
          <w:szCs w:val="32"/>
          <w:lang w:val="en-US" w:eastAsia="zh-CN"/>
        </w:rPr>
        <w:t>2.数据要素交易。</w:t>
      </w:r>
      <w:r>
        <w:rPr>
          <w:rFonts w:hint="eastAsia" w:ascii="Times New Roman" w:hAnsi="Times New Roman" w:eastAsia="仿宋_GB2312" w:cs="仿宋_GB2312"/>
          <w:color w:val="auto"/>
          <w:spacing w:val="0"/>
          <w:position w:val="0"/>
          <w:sz w:val="32"/>
          <w:szCs w:val="32"/>
          <w:lang w:val="en-US" w:eastAsia="zh-CN"/>
        </w:rPr>
        <w:t>探索促进可信数据空间与大数据交易所之间的协同联动发展。针对纺织鞋服跨境电商行业，探索数字产品护照、数据电子存证、数据资产登记、数据知识产权登记、数据产权登记等服务制度的落地应用。</w:t>
      </w:r>
    </w:p>
    <w:p w14:paraId="00C0096C">
      <w:pPr>
        <w:keepNext w:val="0"/>
        <w:keepLines w:val="0"/>
        <w:pageBreakBefore w:val="0"/>
        <w:widowControl w:val="0"/>
        <w:kinsoku/>
        <w:wordWrap/>
        <w:overflowPunct w:val="0"/>
        <w:topLinePunct w:val="0"/>
        <w:bidi w:val="0"/>
        <w:spacing w:before="0" w:line="560" w:lineRule="exact"/>
        <w:ind w:firstLine="640" w:firstLineChars="200"/>
        <w:jc w:val="both"/>
        <w:rPr>
          <w:sz w:val="32"/>
          <w:szCs w:val="32"/>
        </w:rPr>
      </w:pPr>
      <w:r>
        <w:rPr>
          <w:rFonts w:ascii="楷体_GB2312" w:hAnsi="楷体_GB2312" w:eastAsia="楷体_GB2312" w:cs="Times New Roman"/>
          <w:b w:val="0"/>
          <w:bCs/>
          <w:snapToGrid/>
          <w:kern w:val="0"/>
          <w:sz w:val="32"/>
          <w:szCs w:val="32"/>
          <w:lang w:val="en-US" w:eastAsia="en-US" w:bidi="ar-SA"/>
        </w:rPr>
        <w:t>（五）资本要素：增强金融服务实体经济效能</w:t>
      </w:r>
    </w:p>
    <w:p w14:paraId="3EEE11C1">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1" w:firstLineChars="200"/>
        <w:jc w:val="both"/>
        <w:textAlignment w:val="baseline"/>
        <w:rPr>
          <w:rStyle w:val="11"/>
          <w:rFonts w:ascii="Arial" w:hAnsi="Arial" w:cs="Times New Roman"/>
          <w:snapToGrid w:val="0"/>
          <w:color w:val="000000"/>
          <w:kern w:val="0"/>
          <w:sz w:val="32"/>
          <w:szCs w:val="32"/>
          <w:highlight w:val="red"/>
          <w:lang w:val="en-US" w:eastAsia="en-US" w:bidi="ar-SA"/>
        </w:rPr>
      </w:pPr>
      <w:r>
        <w:rPr>
          <w:rFonts w:hint="eastAsia" w:ascii="仿宋_GB2312" w:hAnsi="仿宋_GB2312" w:eastAsia="仿宋_GB2312" w:cs="仿宋_GB2312"/>
          <w:b/>
          <w:bCs/>
          <w:spacing w:val="7"/>
          <w:sz w:val="32"/>
          <w:szCs w:val="32"/>
          <w:lang w:val="en-US" w:eastAsia="zh-CN"/>
        </w:rPr>
        <w:t>1.企业融资与跨境贸易。</w:t>
      </w:r>
      <w:r>
        <w:rPr>
          <w:rFonts w:hint="eastAsia" w:ascii="Times New Roman" w:hAnsi="Times New Roman" w:eastAsia="仿宋_GB2312" w:cs="仿宋_GB2312"/>
          <w:color w:val="auto"/>
          <w:spacing w:val="0"/>
          <w:position w:val="0"/>
          <w:sz w:val="32"/>
          <w:szCs w:val="32"/>
          <w:lang w:val="en-US" w:eastAsia="zh-CN"/>
        </w:rPr>
        <w:t>完善银担“总对总”合作机制，降低担保门槛和成本，提高对中小微企业的支持力度。依托全国中小企业融资综合信用服务平台作用，深化涉企信用信息归集共享应用，推广“信易贷”模式。配合上级推动本外币合一银行结算账户体系增点扩面，提升跨境贸易便利性和资金运作效率。</w:t>
      </w:r>
    </w:p>
    <w:p w14:paraId="6665D8BA">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1"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b/>
          <w:bCs/>
          <w:spacing w:val="7"/>
          <w:sz w:val="32"/>
          <w:szCs w:val="32"/>
          <w:lang w:val="en-US" w:eastAsia="zh-CN"/>
        </w:rPr>
        <w:t>2.</w:t>
      </w:r>
      <w:r>
        <w:rPr>
          <w:rFonts w:hint="eastAsia" w:ascii="仿宋_GB2312" w:hAnsi="仿宋_GB2312" w:eastAsia="仿宋_GB2312" w:cs="仿宋_GB2312"/>
          <w:b/>
          <w:bCs/>
          <w:spacing w:val="7"/>
          <w:sz w:val="32"/>
          <w:szCs w:val="32"/>
        </w:rPr>
        <w:t>乡村振兴投融资。</w:t>
      </w:r>
      <w:r>
        <w:rPr>
          <w:rFonts w:hint="eastAsia" w:ascii="Times New Roman" w:hAnsi="Times New Roman" w:eastAsia="仿宋_GB2312" w:cs="仿宋_GB2312"/>
          <w:color w:val="auto"/>
          <w:spacing w:val="0"/>
          <w:position w:val="0"/>
          <w:sz w:val="32"/>
          <w:szCs w:val="32"/>
          <w:lang w:val="en-US" w:eastAsia="zh-CN"/>
        </w:rPr>
        <w:t>建立统一的农村信用信息平台，构建“农户信用档案”，推广新型产权抵押贷款，创新农业保险产品，支持更多符合条件的涉农项目发行基础设施REITs。完善中小银行和县农村信用社、农商银行治理结构，推动农村信用社、农商银行综合运用财政贴息、税收优惠、再贷款、再贴现等政策工具，逐步扩大农业经营主体贴息范围，提高贴息比例，进一步降低融资成本。</w:t>
      </w:r>
    </w:p>
    <w:p w14:paraId="14A9C242">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1"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b/>
          <w:bCs/>
          <w:spacing w:val="7"/>
          <w:sz w:val="32"/>
          <w:szCs w:val="32"/>
          <w:lang w:val="en-US" w:eastAsia="zh-CN"/>
        </w:rPr>
        <w:t>3.金融机构创新。</w:t>
      </w:r>
      <w:r>
        <w:rPr>
          <w:rFonts w:hint="eastAsia" w:ascii="Times New Roman" w:hAnsi="Times New Roman" w:eastAsia="仿宋_GB2312" w:cs="仿宋_GB2312"/>
          <w:color w:val="auto"/>
          <w:spacing w:val="0"/>
          <w:position w:val="0"/>
          <w:sz w:val="32"/>
          <w:szCs w:val="32"/>
          <w:lang w:val="en-US" w:eastAsia="zh-CN"/>
        </w:rPr>
        <w:t>推广“水保·余甘贷”等绿色金融产品，依托“惠安县福林票”创新林业碳汇金融模式，探索开发碳效信贷等气候友好型金融产品，扩大金融支持林业碳汇项目场景。引导金融机构优化养老金融服务，提升</w:t>
      </w:r>
      <w:bookmarkStart w:id="0" w:name="_GoBack"/>
      <w:bookmarkEnd w:id="0"/>
      <w:r>
        <w:rPr>
          <w:rFonts w:hint="eastAsia" w:ascii="Times New Roman" w:hAnsi="Times New Roman" w:eastAsia="仿宋_GB2312" w:cs="仿宋_GB2312"/>
          <w:color w:val="auto"/>
          <w:spacing w:val="0"/>
          <w:position w:val="0"/>
          <w:sz w:val="32"/>
          <w:szCs w:val="32"/>
          <w:lang w:val="en-US" w:eastAsia="zh-CN"/>
        </w:rPr>
        <w:t>适老化服务水平。</w:t>
      </w:r>
    </w:p>
    <w:p w14:paraId="0B9FEDF9">
      <w:pPr>
        <w:keepNext w:val="0"/>
        <w:keepLines w:val="0"/>
        <w:pageBreakBefore w:val="0"/>
        <w:widowControl w:val="0"/>
        <w:kinsoku/>
        <w:wordWrap/>
        <w:overflowPunct w:val="0"/>
        <w:topLinePunct w:val="0"/>
        <w:autoSpaceDE/>
        <w:autoSpaceDN/>
        <w:bidi w:val="0"/>
        <w:adjustRightInd/>
        <w:snapToGrid/>
        <w:spacing w:before="0" w:line="560" w:lineRule="exact"/>
        <w:ind w:firstLine="640" w:firstLineChars="200"/>
        <w:jc w:val="both"/>
        <w:textAlignment w:val="auto"/>
        <w:rPr>
          <w:rFonts w:ascii="楷体_GB2312" w:hAnsi="楷体_GB2312" w:eastAsia="楷体_GB2312" w:cs="Times New Roman"/>
          <w:b w:val="0"/>
          <w:bCs/>
          <w:snapToGrid/>
          <w:kern w:val="0"/>
          <w:sz w:val="32"/>
          <w:szCs w:val="32"/>
          <w:lang w:val="en-US" w:eastAsia="en-US" w:bidi="ar-SA"/>
        </w:rPr>
      </w:pPr>
      <w:r>
        <w:rPr>
          <w:rFonts w:ascii="楷体_GB2312" w:hAnsi="楷体_GB2312" w:eastAsia="楷体_GB2312" w:cs="Times New Roman"/>
          <w:b w:val="0"/>
          <w:bCs/>
          <w:snapToGrid/>
          <w:kern w:val="0"/>
          <w:sz w:val="32"/>
          <w:szCs w:val="32"/>
          <w:lang w:val="en-US" w:eastAsia="en-US" w:bidi="ar-SA"/>
        </w:rPr>
        <w:t>（六）资源环境要素：健全市场化配置与生态价值实现机制</w:t>
      </w:r>
    </w:p>
    <w:p w14:paraId="1FADB7D8">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1" w:firstLineChars="200"/>
        <w:jc w:val="both"/>
        <w:textAlignment w:val="baseline"/>
        <w:rPr>
          <w:rFonts w:hint="eastAsia" w:ascii="Times New Roman" w:hAnsi="Times New Roman" w:eastAsia="仿宋_GB2312" w:cs="仿宋_GB2312"/>
          <w:color w:val="auto"/>
          <w:spacing w:val="0"/>
          <w:position w:val="0"/>
          <w:sz w:val="32"/>
          <w:szCs w:val="32"/>
          <w:lang w:val="en-US" w:eastAsia="zh-CN"/>
        </w:rPr>
      </w:pPr>
      <w:r>
        <w:rPr>
          <w:rFonts w:hint="eastAsia" w:ascii="仿宋_GB2312" w:hAnsi="仿宋_GB2312" w:eastAsia="仿宋_GB2312" w:cs="仿宋_GB2312"/>
          <w:b/>
          <w:bCs/>
          <w:spacing w:val="7"/>
          <w:sz w:val="32"/>
          <w:szCs w:val="32"/>
          <w:lang w:val="en-US" w:eastAsia="zh-CN"/>
        </w:rPr>
        <w:t>1.矿业权出让退出。</w:t>
      </w:r>
      <w:r>
        <w:rPr>
          <w:rFonts w:hint="eastAsia" w:ascii="Times New Roman" w:hAnsi="Times New Roman" w:eastAsia="仿宋_GB2312" w:cs="仿宋_GB2312"/>
          <w:color w:val="auto"/>
          <w:spacing w:val="0"/>
          <w:position w:val="0"/>
          <w:sz w:val="32"/>
          <w:szCs w:val="32"/>
          <w:lang w:val="en-US" w:eastAsia="zh-CN"/>
        </w:rPr>
        <w:t>探索推行“净矿出让”改革，提升矿业权出让效能，建立多部门联合踏勘预审机制，力争在出让前基本解决或明确后续审批的关键问题，提高矿业权出让效率。推进探明储量统一确权登记，探索建立矿产资源确权登记制度。</w:t>
      </w:r>
    </w:p>
    <w:p w14:paraId="43A04103">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1" w:firstLineChars="200"/>
        <w:jc w:val="both"/>
        <w:textAlignment w:val="baseline"/>
        <w:rPr>
          <w:rStyle w:val="11"/>
          <w:rFonts w:ascii="Arial" w:hAnsi="Arial" w:cs="Times New Roman"/>
          <w:snapToGrid w:val="0"/>
          <w:color w:val="000000"/>
          <w:kern w:val="0"/>
          <w:sz w:val="32"/>
          <w:szCs w:val="32"/>
          <w:highlight w:val="red"/>
          <w:lang w:val="en-US" w:eastAsia="en-US" w:bidi="ar-SA"/>
        </w:rPr>
      </w:pPr>
      <w:r>
        <w:rPr>
          <w:rFonts w:hint="eastAsia" w:ascii="仿宋_GB2312" w:hAnsi="仿宋_GB2312" w:eastAsia="仿宋_GB2312" w:cs="仿宋_GB2312"/>
          <w:b/>
          <w:bCs/>
          <w:spacing w:val="7"/>
          <w:sz w:val="32"/>
          <w:szCs w:val="32"/>
          <w:lang w:val="en-US" w:eastAsia="zh-CN"/>
        </w:rPr>
        <w:t>2.要素协同配置。</w:t>
      </w:r>
      <w:r>
        <w:rPr>
          <w:rFonts w:hint="eastAsia" w:ascii="Times New Roman" w:hAnsi="Times New Roman" w:eastAsia="仿宋_GB2312" w:cs="仿宋_GB2312"/>
          <w:color w:val="auto"/>
          <w:spacing w:val="0"/>
          <w:position w:val="0"/>
          <w:sz w:val="32"/>
          <w:szCs w:val="32"/>
          <w:lang w:val="en-US" w:eastAsia="zh-CN"/>
        </w:rPr>
        <w:t>聚焦化工新材料、海洋经济、半导体光电、数字智造、低空经济等新业态新领域，推动生产要素创新性配置，促进各类先进生产要素向新质生产力集聚。完善主要由市场供求关系决定要素价格机制，防止政府对价格形成的不当干预。健全劳动、资本、土地、知识、技术、管理、数据等生产要素由市场评价贡献、按贡献决定报酬的机制。支持我县职业院校开展校企合作、技术服务、社会培训。鼓励和引导上市公司现金分红，完善投资者权益保护制度。</w:t>
      </w:r>
    </w:p>
    <w:p w14:paraId="5110A439">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1" w:firstLineChars="200"/>
        <w:jc w:val="both"/>
        <w:textAlignment w:val="baseline"/>
        <w:rPr>
          <w:rStyle w:val="11"/>
          <w:rFonts w:hint="default" w:ascii="Arial" w:hAnsi="Arial" w:eastAsia="楷体_GB2312" w:cs="Times New Roman"/>
          <w:snapToGrid w:val="0"/>
          <w:color w:val="000000"/>
          <w:kern w:val="0"/>
          <w:sz w:val="32"/>
          <w:szCs w:val="32"/>
          <w:highlight w:val="yellow"/>
          <w:lang w:val="en-US" w:eastAsia="zh-CN" w:bidi="ar-SA"/>
        </w:rPr>
      </w:pPr>
      <w:r>
        <w:rPr>
          <w:rFonts w:hint="eastAsia" w:ascii="仿宋_GB2312" w:hAnsi="仿宋_GB2312" w:eastAsia="仿宋_GB2312" w:cs="仿宋_GB2312"/>
          <w:b/>
          <w:bCs/>
          <w:spacing w:val="7"/>
          <w:sz w:val="32"/>
          <w:szCs w:val="32"/>
          <w:lang w:val="en-US" w:eastAsia="zh-CN"/>
        </w:rPr>
        <w:t>3.生态环境要素市场化配置。</w:t>
      </w:r>
      <w:r>
        <w:rPr>
          <w:rFonts w:hint="eastAsia" w:ascii="Times New Roman" w:hAnsi="Times New Roman" w:eastAsia="仿宋_GB2312" w:cs="仿宋_GB2312"/>
          <w:color w:val="auto"/>
          <w:spacing w:val="0"/>
          <w:position w:val="0"/>
          <w:sz w:val="32"/>
          <w:szCs w:val="32"/>
          <w:lang w:val="en-US" w:eastAsia="zh-CN"/>
        </w:rPr>
        <w:t>优化排污权有偿使用和交易制度，探索开展重点行业排污指标创新管理，因地制宜开展污染物总量控制指标二次分配。探索建立海洋碳汇相关标准。</w:t>
      </w:r>
    </w:p>
    <w:p w14:paraId="414D043F">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52" w:firstLineChars="200"/>
        <w:jc w:val="both"/>
        <w:textAlignment w:val="baseline"/>
        <w:outlineLvl w:val="0"/>
        <w:rPr>
          <w:rFonts w:ascii="黑体" w:hAnsi="黑体" w:eastAsia="黑体" w:cs="黑体"/>
          <w:sz w:val="32"/>
          <w:szCs w:val="32"/>
        </w:rPr>
      </w:pPr>
      <w:r>
        <w:rPr>
          <w:rFonts w:ascii="黑体" w:hAnsi="黑体" w:eastAsia="黑体" w:cs="黑体"/>
          <w:spacing w:val="3"/>
          <w:sz w:val="32"/>
          <w:szCs w:val="32"/>
        </w:rPr>
        <w:t>三、重点试验场景</w:t>
      </w:r>
    </w:p>
    <w:p w14:paraId="7FB59CC8">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0" w:firstLineChars="200"/>
        <w:jc w:val="both"/>
        <w:textAlignment w:val="baseline"/>
        <w:rPr>
          <w:rFonts w:ascii="仿宋_GB2312" w:hAnsi="仿宋_GB2312" w:eastAsia="仿宋_GB2312" w:cs="仿宋_GB2312"/>
          <w:sz w:val="32"/>
          <w:szCs w:val="32"/>
        </w:rPr>
      </w:pPr>
      <w:r>
        <w:rPr>
          <w:rFonts w:ascii="楷体_GB2312" w:hAnsi="楷体_GB2312" w:eastAsia="楷体_GB2312" w:cs="Times New Roman"/>
          <w:b w:val="0"/>
          <w:bCs/>
          <w:snapToGrid/>
          <w:kern w:val="0"/>
          <w:sz w:val="32"/>
          <w:szCs w:val="32"/>
          <w:lang w:val="en-US" w:eastAsia="en-US" w:bidi="ar-SA"/>
        </w:rPr>
        <w:t>（一）</w:t>
      </w:r>
      <w:r>
        <w:rPr>
          <w:rFonts w:hint="eastAsia" w:ascii="楷体_GB2312" w:hAnsi="楷体_GB2312" w:eastAsia="楷体_GB2312" w:cs="Times New Roman"/>
          <w:b w:val="0"/>
          <w:bCs/>
          <w:snapToGrid/>
          <w:kern w:val="0"/>
          <w:sz w:val="32"/>
          <w:szCs w:val="32"/>
          <w:lang w:val="en-US" w:eastAsia="zh-CN" w:bidi="ar-SA"/>
        </w:rPr>
        <w:t>聚焦多要素集约高效协同配置，深化工业园区标准化建设</w:t>
      </w:r>
      <w:r>
        <w:rPr>
          <w:rFonts w:hint="eastAsia" w:ascii="Times New Roman" w:hAnsi="Times New Roman" w:eastAsia="仿宋_GB2312" w:cs="仿宋_GB2312"/>
          <w:color w:val="auto"/>
          <w:spacing w:val="0"/>
          <w:position w:val="0"/>
          <w:sz w:val="32"/>
          <w:szCs w:val="32"/>
          <w:lang w:val="en-US" w:eastAsia="zh-CN"/>
        </w:rPr>
        <w:t>。充分发挥盘活利用低效用地试点优势，优化园区土地供应方式，深化园区金融服务，推进园区数据融合汇通，完善园区人才服务载体，推动土地、资本、技术、数据、人才、资源环境等要素集约高效协同配置，打造要素配置高效、产业特色鲜明的园区样板。</w:t>
      </w:r>
    </w:p>
    <w:p w14:paraId="02875AD2">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0" w:firstLineChars="200"/>
        <w:jc w:val="both"/>
        <w:textAlignment w:val="baseline"/>
        <w:rPr>
          <w:rFonts w:ascii="仿宋_GB2312" w:hAnsi="仿宋_GB2312" w:eastAsia="仿宋_GB2312" w:cs="仿宋_GB2312"/>
          <w:sz w:val="32"/>
          <w:szCs w:val="32"/>
        </w:rPr>
      </w:pPr>
      <w:r>
        <w:rPr>
          <w:rFonts w:ascii="楷体_GB2312" w:hAnsi="楷体_GB2312" w:eastAsia="楷体_GB2312" w:cs="Times New Roman"/>
          <w:b w:val="0"/>
          <w:bCs/>
          <w:snapToGrid/>
          <w:kern w:val="0"/>
          <w:sz w:val="32"/>
          <w:szCs w:val="32"/>
          <w:lang w:val="en-US" w:eastAsia="en-US" w:bidi="ar-SA"/>
        </w:rPr>
        <w:t>（二）</w:t>
      </w:r>
      <w:r>
        <w:rPr>
          <w:rFonts w:hint="eastAsia" w:ascii="楷体_GB2312" w:hAnsi="楷体_GB2312" w:eastAsia="楷体_GB2312" w:cs="Times New Roman"/>
          <w:b w:val="0"/>
          <w:bCs/>
          <w:snapToGrid/>
          <w:kern w:val="0"/>
          <w:sz w:val="32"/>
          <w:szCs w:val="32"/>
          <w:lang w:val="en-US" w:eastAsia="zh-CN" w:bidi="ar-SA"/>
        </w:rPr>
        <w:t>聚焦公共数据与企业数据融合应用，探索数据驱动产业创新新路径。</w:t>
      </w:r>
      <w:r>
        <w:rPr>
          <w:rFonts w:hint="eastAsia" w:ascii="Times New Roman" w:hAnsi="Times New Roman" w:eastAsia="仿宋_GB2312" w:cs="仿宋_GB2312"/>
          <w:color w:val="auto"/>
          <w:spacing w:val="0"/>
          <w:position w:val="0"/>
          <w:sz w:val="32"/>
          <w:szCs w:val="32"/>
          <w:lang w:val="en-US" w:eastAsia="zh-CN"/>
        </w:rPr>
        <w:t>推动公共数据与企业数据融合应用，以数据要素牵引资本、技术、人才、资源环境等要素向中小企业集聚，破解中小企业要素获取难题。</w:t>
      </w:r>
    </w:p>
    <w:p w14:paraId="20C4ED55">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仿宋_GB2312"/>
          <w:color w:val="auto"/>
          <w:spacing w:val="0"/>
          <w:position w:val="0"/>
          <w:sz w:val="32"/>
          <w:szCs w:val="32"/>
          <w:lang w:val="en-US" w:eastAsia="zh-CN"/>
        </w:rPr>
      </w:pPr>
      <w:r>
        <w:rPr>
          <w:rFonts w:ascii="楷体_GB2312" w:hAnsi="楷体_GB2312" w:eastAsia="楷体_GB2312" w:cs="Times New Roman"/>
          <w:b w:val="0"/>
          <w:bCs/>
          <w:snapToGrid/>
          <w:kern w:val="0"/>
          <w:sz w:val="32"/>
          <w:szCs w:val="32"/>
          <w:lang w:val="en-US" w:eastAsia="en-US" w:bidi="ar-SA"/>
        </w:rPr>
        <w:t>（三）</w:t>
      </w:r>
      <w:r>
        <w:rPr>
          <w:rFonts w:hint="eastAsia" w:ascii="楷体_GB2312" w:hAnsi="楷体_GB2312" w:eastAsia="楷体_GB2312" w:cs="Times New Roman"/>
          <w:b w:val="0"/>
          <w:bCs/>
          <w:snapToGrid/>
          <w:kern w:val="0"/>
          <w:sz w:val="32"/>
          <w:szCs w:val="32"/>
          <w:lang w:val="en-US" w:eastAsia="zh-CN" w:bidi="ar-SA"/>
        </w:rPr>
        <w:t>聚焦深化低效用地盘活利用试点，探索土地要素高效配置新路径。</w:t>
      </w:r>
      <w:r>
        <w:rPr>
          <w:rFonts w:hint="eastAsia" w:ascii="Times New Roman" w:hAnsi="Times New Roman" w:eastAsia="仿宋_GB2312" w:cs="仿宋_GB2312"/>
          <w:color w:val="auto"/>
          <w:spacing w:val="0"/>
          <w:position w:val="0"/>
          <w:sz w:val="32"/>
          <w:szCs w:val="32"/>
          <w:lang w:val="en-US" w:eastAsia="zh-CN"/>
        </w:rPr>
        <w:t>规范实施“工改商”用途转换，对符合国土空间详细规划的低效工业（仓储）用地，积极引导用地使用权人有序申请用途变更，推动土地开发利用方式从“增量依赖”向“存量挖潜”深度转变，显著提高土地资源配置效率，力争到2027年形成一批可复制推广、具有县域特色的低效用地再开发典型案例。</w:t>
      </w:r>
    </w:p>
    <w:p w14:paraId="03EEDEE6">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0" w:firstLineChars="200"/>
        <w:jc w:val="both"/>
        <w:textAlignment w:val="baseline"/>
        <w:rPr>
          <w:rFonts w:ascii="仿宋_GB2312" w:hAnsi="仿宋_GB2312" w:eastAsia="仿宋_GB2312" w:cs="仿宋_GB2312"/>
          <w:sz w:val="32"/>
          <w:szCs w:val="32"/>
        </w:rPr>
      </w:pPr>
      <w:r>
        <w:rPr>
          <w:rFonts w:ascii="楷体_GB2312" w:hAnsi="楷体_GB2312" w:eastAsia="楷体_GB2312" w:cs="Times New Roman"/>
          <w:b w:val="0"/>
          <w:bCs/>
          <w:snapToGrid/>
          <w:kern w:val="0"/>
          <w:sz w:val="32"/>
          <w:szCs w:val="32"/>
          <w:lang w:val="en-US" w:eastAsia="en-US" w:bidi="ar-SA"/>
        </w:rPr>
        <w:t>（四）</w:t>
      </w:r>
      <w:r>
        <w:rPr>
          <w:rFonts w:hint="eastAsia" w:ascii="楷体_GB2312" w:hAnsi="楷体_GB2312" w:eastAsia="楷体_GB2312" w:cs="Times New Roman"/>
          <w:b w:val="0"/>
          <w:bCs/>
          <w:snapToGrid/>
          <w:kern w:val="0"/>
          <w:sz w:val="32"/>
          <w:szCs w:val="32"/>
          <w:lang w:val="en-US" w:eastAsia="zh-CN" w:bidi="ar-SA"/>
        </w:rPr>
        <w:t>聚焦资本要素与制造业深度融合，促进产融合作模式创新。</w:t>
      </w:r>
      <w:r>
        <w:rPr>
          <w:rFonts w:hint="eastAsia" w:ascii="Times New Roman" w:hAnsi="Times New Roman" w:eastAsia="仿宋_GB2312" w:cs="仿宋_GB2312"/>
          <w:color w:val="auto"/>
          <w:spacing w:val="0"/>
          <w:position w:val="0"/>
          <w:sz w:val="32"/>
          <w:szCs w:val="32"/>
          <w:lang w:val="en-US" w:eastAsia="zh-CN"/>
        </w:rPr>
        <w:t>完善多层次资本市场、优化金融供给结构，统筹用好产业投资基金、政策性融资担保等工具，推动金融机构开发适配制造业需求的金融产品，破解传统产业转型融资难题。</w:t>
      </w:r>
    </w:p>
    <w:p w14:paraId="477A06D6">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0" w:firstLineChars="200"/>
        <w:jc w:val="both"/>
        <w:textAlignment w:val="baseline"/>
        <w:rPr>
          <w:rFonts w:ascii="仿宋_GB2312" w:hAnsi="仿宋_GB2312" w:eastAsia="仿宋_GB2312" w:cs="仿宋_GB2312"/>
          <w:spacing w:val="4"/>
          <w:sz w:val="32"/>
          <w:szCs w:val="32"/>
        </w:rPr>
      </w:pPr>
      <w:r>
        <w:rPr>
          <w:rFonts w:ascii="楷体_GB2312" w:hAnsi="楷体_GB2312" w:eastAsia="楷体_GB2312" w:cs="Times New Roman"/>
          <w:b w:val="0"/>
          <w:bCs/>
          <w:snapToGrid/>
          <w:kern w:val="0"/>
          <w:sz w:val="32"/>
          <w:szCs w:val="32"/>
          <w:lang w:val="en-US" w:eastAsia="en-US" w:bidi="ar-SA"/>
        </w:rPr>
        <w:t>（五）</w:t>
      </w:r>
      <w:r>
        <w:rPr>
          <w:rFonts w:hint="eastAsia" w:ascii="楷体_GB2312" w:hAnsi="楷体_GB2312" w:eastAsia="楷体_GB2312" w:cs="Times New Roman"/>
          <w:b w:val="0"/>
          <w:bCs/>
          <w:snapToGrid/>
          <w:kern w:val="0"/>
          <w:sz w:val="32"/>
          <w:szCs w:val="32"/>
          <w:lang w:val="en-US" w:eastAsia="zh-CN" w:bidi="ar-SA"/>
        </w:rPr>
        <w:t>聚焦强化企业创新主体地位，构建技术要素高效整合新模式。</w:t>
      </w:r>
      <w:r>
        <w:rPr>
          <w:rFonts w:hint="eastAsia" w:ascii="Times New Roman" w:hAnsi="Times New Roman" w:eastAsia="仿宋_GB2312" w:cs="仿宋_GB2312"/>
          <w:color w:val="auto"/>
          <w:spacing w:val="0"/>
          <w:position w:val="0"/>
          <w:sz w:val="32"/>
          <w:szCs w:val="32"/>
          <w:lang w:val="en-US" w:eastAsia="zh-CN"/>
        </w:rPr>
        <w:t>发挥我县先进制造业基础优势，围绕石化新材料、雕艺文创、食品饮料、校园服饰等制造企业布局完善技术、平台、资本、人才等创新创业生态系统，推广“企业家+科学家+投资家”融合创新工作模式，加强技术交易服务、中试孵化服务、产学研金对接服务，探索形成以企业创新为主体、以提升技术成果转移转化效率为目的的科创模式。</w:t>
      </w:r>
    </w:p>
    <w:p w14:paraId="3E44CCDC">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0" w:firstLineChars="200"/>
        <w:jc w:val="both"/>
        <w:textAlignment w:val="baseline"/>
        <w:rPr>
          <w:rStyle w:val="11"/>
          <w:rFonts w:ascii="Arial" w:hAnsi="Arial" w:cs="Times New Roman"/>
          <w:snapToGrid w:val="0"/>
          <w:color w:val="000000"/>
          <w:kern w:val="0"/>
          <w:sz w:val="32"/>
          <w:szCs w:val="32"/>
          <w:highlight w:val="red"/>
          <w:lang w:val="en-US" w:eastAsia="en-US" w:bidi="ar-SA"/>
        </w:rPr>
      </w:pPr>
      <w:r>
        <w:rPr>
          <w:rFonts w:ascii="楷体_GB2312" w:hAnsi="楷体_GB2312" w:eastAsia="楷体_GB2312" w:cs="Times New Roman"/>
          <w:b w:val="0"/>
          <w:bCs/>
          <w:snapToGrid/>
          <w:kern w:val="0"/>
          <w:sz w:val="32"/>
          <w:szCs w:val="32"/>
          <w:lang w:val="en-US" w:eastAsia="en-US" w:bidi="ar-SA"/>
        </w:rPr>
        <w:t>（六）</w:t>
      </w:r>
      <w:r>
        <w:rPr>
          <w:rFonts w:hint="eastAsia" w:ascii="楷体_GB2312" w:hAnsi="楷体_GB2312" w:eastAsia="楷体_GB2312" w:cs="Times New Roman"/>
          <w:b w:val="0"/>
          <w:bCs/>
          <w:snapToGrid/>
          <w:kern w:val="0"/>
          <w:sz w:val="32"/>
          <w:szCs w:val="32"/>
          <w:lang w:val="en-US" w:eastAsia="zh-CN" w:bidi="ar-SA"/>
        </w:rPr>
        <w:t>聚焦资本跨境流通便利化，打造海丝经贸合作重要节点城市。</w:t>
      </w:r>
      <w:r>
        <w:rPr>
          <w:rFonts w:hint="eastAsia" w:ascii="Times New Roman" w:hAnsi="Times New Roman" w:eastAsia="仿宋_GB2312" w:cs="仿宋_GB2312"/>
          <w:color w:val="auto"/>
          <w:spacing w:val="0"/>
          <w:position w:val="0"/>
          <w:sz w:val="32"/>
          <w:szCs w:val="32"/>
          <w:lang w:val="en-US" w:eastAsia="zh-CN"/>
        </w:rPr>
        <w:t>发挥惠安侨乡和台胞祖籍地优势，落实侨汇结汇便利化试点政策，依托“刺桐侨汇”平台做好惠安侨汇服务。深化“聚侨引侨和惠商回归”行动，推进侨资返乡兴业。发挥石雕、校服、石化等特色产业优势，畅通“惠安优品”出海通道，更好融入“一带一路”建设。</w:t>
      </w:r>
    </w:p>
    <w:p w14:paraId="5C34E81B">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0" w:firstLineChars="200"/>
        <w:jc w:val="both"/>
        <w:textAlignment w:val="baseline"/>
        <w:rPr>
          <w:rFonts w:ascii="仿宋_GB2312" w:hAnsi="仿宋_GB2312" w:eastAsia="仿宋_GB2312" w:cs="仿宋_GB2312"/>
          <w:sz w:val="32"/>
          <w:szCs w:val="32"/>
        </w:rPr>
      </w:pPr>
      <w:r>
        <w:rPr>
          <w:rFonts w:ascii="楷体_GB2312" w:hAnsi="楷体_GB2312" w:eastAsia="楷体_GB2312" w:cs="Times New Roman"/>
          <w:b w:val="0"/>
          <w:bCs/>
          <w:snapToGrid/>
          <w:kern w:val="0"/>
          <w:sz w:val="32"/>
          <w:szCs w:val="32"/>
          <w:lang w:val="en-US" w:eastAsia="en-US" w:bidi="ar-SA"/>
        </w:rPr>
        <w:t>（七）</w:t>
      </w:r>
      <w:r>
        <w:rPr>
          <w:rFonts w:hint="eastAsia" w:ascii="楷体_GB2312" w:hAnsi="楷体_GB2312" w:eastAsia="楷体_GB2312" w:cs="Times New Roman"/>
          <w:b w:val="0"/>
          <w:bCs/>
          <w:snapToGrid/>
          <w:kern w:val="0"/>
          <w:sz w:val="32"/>
          <w:szCs w:val="32"/>
          <w:lang w:val="en-US" w:eastAsia="zh-CN" w:bidi="ar-SA"/>
        </w:rPr>
        <w:t>聚焦产业工人成长体系构建，促进人力资源要素优化配置。</w:t>
      </w:r>
      <w:r>
        <w:rPr>
          <w:rFonts w:hint="eastAsia" w:ascii="Times New Roman" w:hAnsi="Times New Roman" w:eastAsia="仿宋_GB2312" w:cs="仿宋_GB2312"/>
          <w:color w:val="auto"/>
          <w:spacing w:val="0"/>
          <w:position w:val="0"/>
          <w:sz w:val="32"/>
          <w:szCs w:val="32"/>
          <w:lang w:val="en-US" w:eastAsia="zh-CN"/>
        </w:rPr>
        <w:t>聚焦产业工人培育关键环节，加大对产业工人的培育力度，在流动人口公共服务配套、职业教育体系建设、劳动经济权益维护等领域深化改革，全面提升劳动者素质。</w:t>
      </w:r>
    </w:p>
    <w:p w14:paraId="6B0ED21F">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8" w:firstLineChars="200"/>
        <w:jc w:val="both"/>
        <w:textAlignment w:val="baseline"/>
        <w:rPr>
          <w:rFonts w:hint="eastAsia" w:ascii="黑体" w:hAnsi="黑体" w:eastAsia="黑体" w:cs="黑体"/>
          <w:sz w:val="32"/>
          <w:szCs w:val="32"/>
          <w:lang w:eastAsia="zh-CN"/>
        </w:rPr>
      </w:pPr>
      <w:r>
        <w:rPr>
          <w:rFonts w:ascii="黑体" w:hAnsi="黑体" w:eastAsia="黑体" w:cs="黑体"/>
          <w:spacing w:val="2"/>
          <w:sz w:val="32"/>
          <w:szCs w:val="32"/>
        </w:rPr>
        <w:t>四、</w:t>
      </w:r>
      <w:r>
        <w:rPr>
          <w:rFonts w:hint="eastAsia" w:ascii="黑体" w:hAnsi="黑体" w:eastAsia="黑体" w:cs="黑体"/>
          <w:spacing w:val="2"/>
          <w:sz w:val="32"/>
          <w:szCs w:val="32"/>
          <w:lang w:eastAsia="zh-CN"/>
        </w:rPr>
        <w:t>保障支撑</w:t>
      </w:r>
    </w:p>
    <w:p w14:paraId="2AE7D787">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仿宋_GB2312"/>
          <w:color w:val="auto"/>
          <w:spacing w:val="0"/>
          <w:position w:val="0"/>
          <w:sz w:val="32"/>
          <w:szCs w:val="32"/>
          <w:lang w:val="en-US" w:eastAsia="zh-CN"/>
        </w:rPr>
      </w:pPr>
      <w:r>
        <w:rPr>
          <w:rFonts w:hint="eastAsia" w:ascii="Times New Roman" w:hAnsi="Times New Roman" w:eastAsia="仿宋_GB2312" w:cs="仿宋_GB2312"/>
          <w:color w:val="auto"/>
          <w:spacing w:val="0"/>
          <w:position w:val="0"/>
          <w:sz w:val="32"/>
          <w:szCs w:val="32"/>
          <w:lang w:val="en-US" w:eastAsia="zh-CN"/>
        </w:rPr>
        <w:t>健全全县福厦泉要素市场化配置综合改革试点统筹推进机制，由县发改局牵头抓总，统筹做好试点工作的统筹协调、整体推进与督促落实。各要素领域责任单位牵头推进本领域各项改革任务落地，立足我县产业禀赋完善县域特色试验场景建设，强化“上下联动、横向协同”工作格局。健全常态化推进机制，定期组织开展阶段性自查与成效评估，对进展滞后的任务强化督导预警，及时协调破解难点堵点问题，重大事项按程序向县委、县政府请示报告。各要素领域责任单位要及时总结提炼改革经验，形成一批可复制可推广的创新案例，向上级部门报送，营造鼓励改革、支持创新的良好氛围。</w:t>
      </w:r>
    </w:p>
    <w:p w14:paraId="3446B0D8">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仿宋_GB2312"/>
          <w:color w:val="auto"/>
          <w:spacing w:val="0"/>
          <w:position w:val="0"/>
          <w:sz w:val="32"/>
          <w:szCs w:val="32"/>
          <w:lang w:val="en-US" w:eastAsia="zh-CN"/>
        </w:rPr>
      </w:pPr>
      <w:r>
        <w:rPr>
          <w:rFonts w:hint="eastAsia" w:ascii="Times New Roman" w:hAnsi="Times New Roman" w:eastAsia="仿宋_GB2312" w:cs="仿宋_GB2312"/>
          <w:color w:val="auto"/>
          <w:spacing w:val="0"/>
          <w:position w:val="0"/>
          <w:sz w:val="32"/>
          <w:szCs w:val="32"/>
          <w:lang w:val="en-US" w:eastAsia="zh-CN"/>
        </w:rPr>
        <w:t>本行动方案自印发之日起实施，有效期至2027年9月。</w:t>
      </w:r>
    </w:p>
    <w:sectPr>
      <w:footerReference r:id="rId5" w:type="default"/>
      <w:pgSz w:w="11906" w:h="16838"/>
      <w:pgMar w:top="1440" w:right="1800" w:bottom="1440" w:left="1800" w:header="227" w:footer="454"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7D8AE5A7-493B-43BD-98F3-C85AB34B0A94}"/>
  </w:font>
  <w:font w:name="黑体">
    <w:panose1 w:val="02010609060101010101"/>
    <w:charset w:val="86"/>
    <w:family w:val="auto"/>
    <w:pitch w:val="default"/>
    <w:sig w:usb0="800002BF" w:usb1="38CF7CFA" w:usb2="00000016" w:usb3="00000000" w:csb0="00040001" w:csb1="00000000"/>
    <w:embedRegular r:id="rId2" w:fontKey="{137688F6-7A9C-4438-ABCE-2CE0FC66B13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embedRegular r:id="rId3" w:fontKey="{ABDB980A-BAF3-4D0D-BBA8-BD144433C4BF}"/>
  </w:font>
  <w:font w:name="仿宋_GB2312">
    <w:panose1 w:val="02010609030101010101"/>
    <w:charset w:val="86"/>
    <w:family w:val="modern"/>
    <w:pitch w:val="default"/>
    <w:sig w:usb0="00000001" w:usb1="080E0000" w:usb2="00000000" w:usb3="00000000" w:csb0="00040000" w:csb1="00000000"/>
    <w:embedRegular r:id="rId4" w:fontKey="{57F139C4-A6FA-44D4-9A9D-B72E4FFB92C6}"/>
  </w:font>
  <w:font w:name="方正小标宋简体">
    <w:panose1 w:val="00000600000000000000"/>
    <w:charset w:val="86"/>
    <w:family w:val="auto"/>
    <w:pitch w:val="default"/>
    <w:sig w:usb0="800002BF" w:usb1="184F6CF8" w:usb2="00000012" w:usb3="00000000" w:csb0="00160001" w:csb1="12030000"/>
    <w:embedRegular r:id="rId5" w:fontKey="{885CA994-E53B-4B4F-BCC0-B31D1EDFC7E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33CF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2360D">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442360D">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4E13E4F"/>
    <w:rsid w:val="0768045D"/>
    <w:rsid w:val="085A573A"/>
    <w:rsid w:val="0B370EAD"/>
    <w:rsid w:val="0B9A2BAF"/>
    <w:rsid w:val="0D7C313A"/>
    <w:rsid w:val="0E4B1F3E"/>
    <w:rsid w:val="0FEA17E5"/>
    <w:rsid w:val="129E47A6"/>
    <w:rsid w:val="14E642A4"/>
    <w:rsid w:val="17005FBC"/>
    <w:rsid w:val="19B0396B"/>
    <w:rsid w:val="1D5166E5"/>
    <w:rsid w:val="1F4C496F"/>
    <w:rsid w:val="206C56C4"/>
    <w:rsid w:val="232D7D7E"/>
    <w:rsid w:val="23C91E2B"/>
    <w:rsid w:val="246444F3"/>
    <w:rsid w:val="250424A4"/>
    <w:rsid w:val="282A6A75"/>
    <w:rsid w:val="287265EE"/>
    <w:rsid w:val="2E8857D3"/>
    <w:rsid w:val="300F7308"/>
    <w:rsid w:val="311B750B"/>
    <w:rsid w:val="34C12DD7"/>
    <w:rsid w:val="357C0AAC"/>
    <w:rsid w:val="36256D58"/>
    <w:rsid w:val="366F755A"/>
    <w:rsid w:val="37F30DCD"/>
    <w:rsid w:val="41FD2F74"/>
    <w:rsid w:val="436A51DA"/>
    <w:rsid w:val="458D141A"/>
    <w:rsid w:val="4A162E25"/>
    <w:rsid w:val="4FB0380D"/>
    <w:rsid w:val="546E386E"/>
    <w:rsid w:val="55F14746"/>
    <w:rsid w:val="56925F29"/>
    <w:rsid w:val="57D460CD"/>
    <w:rsid w:val="58E6430A"/>
    <w:rsid w:val="5A3B229D"/>
    <w:rsid w:val="5AEB3E5A"/>
    <w:rsid w:val="5BEC6A16"/>
    <w:rsid w:val="5D252F8E"/>
    <w:rsid w:val="60541D9A"/>
    <w:rsid w:val="67354934"/>
    <w:rsid w:val="6AF00A5F"/>
    <w:rsid w:val="6AFD042D"/>
    <w:rsid w:val="6B5F73CB"/>
    <w:rsid w:val="6D8402EA"/>
    <w:rsid w:val="6FC2533C"/>
    <w:rsid w:val="74D925D0"/>
    <w:rsid w:val="777C4360"/>
    <w:rsid w:val="785A5B03"/>
    <w:rsid w:val="79646E59"/>
    <w:rsid w:val="7B9F10B9"/>
    <w:rsid w:val="7EBF7C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next w:val="1"/>
    <w:qFormat/>
    <w:uiPriority w:val="0"/>
    <w:pPr>
      <w:spacing w:before="60" w:after="0" w:line="580" w:lineRule="exact"/>
      <w:outlineLvl w:val="1"/>
    </w:pPr>
    <w:rPr>
      <w:rFonts w:ascii="Times New Roman" w:hAnsi="Times New Roman" w:eastAsia="楷体_GB2312" w:cs="Times New Roman"/>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00正文"/>
    <w:basedOn w:val="1"/>
    <w:qFormat/>
    <w:uiPriority w:val="0"/>
    <w:pPr>
      <w:overflowPunct w:val="0"/>
      <w:spacing w:line="580" w:lineRule="exact"/>
      <w:ind w:firstLine="200" w:firstLineChars="200"/>
    </w:pPr>
    <w:rPr>
      <w:rFonts w:ascii="Times New Roman" w:hAnsi="Times New Roman" w:eastAsia="仿宋_GB2312"/>
      <w:kern w:val="0"/>
      <w:sz w:val="32"/>
      <w:szCs w:val="32"/>
    </w:rPr>
  </w:style>
  <w:style w:type="character" w:customStyle="1" w:styleId="11">
    <w:name w:val="楷体正文 Char"/>
    <w:link w:val="12"/>
    <w:qFormat/>
    <w:uiPriority w:val="0"/>
    <w:rPr>
      <w:rFonts w:eastAsia="楷体_GB2312"/>
    </w:rPr>
  </w:style>
  <w:style w:type="paragraph" w:customStyle="1" w:styleId="12">
    <w:name w:val="楷体正文"/>
    <w:basedOn w:val="10"/>
    <w:link w:val="11"/>
    <w:qFormat/>
    <w:uiPriority w:val="0"/>
    <w:pPr>
      <w:ind w:firstLine="640"/>
    </w:pPr>
    <w:rPr>
      <w:rFonts w:eastAsia="楷体_GB231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713c8ded-d1c7-4c08-a5ee-644892055079</errorID>
      <errorWord>生态价值实现机制</errorWord>
      <group>L1_Political</group>
      <groupName>政治性问题</groupName>
      <ability>L2_Keyword</ability>
      <abilityName>固定表述</abilityName>
      <candidateList>
        <item>生态产品价值实现机制</item>
      </candidateList>
      <explain>词汇“生态产品价值实现机制”在特定场景下为固定表述形式，请确认此处的“生态价值实现机制”是否存在不当。</explain>
      <paraID> B9FEDF9</paraID>
      <start>18</start>
      <end>26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da66eb-c68b-454f-af89-877f5f6973a0}">
  <ds:schemaRefs/>
</ds:datastoreItem>
</file>

<file path=docProps/app.xml><?xml version="1.0" encoding="utf-8"?>
<Properties xmlns="http://schemas.openxmlformats.org/officeDocument/2006/extended-properties" xmlns:vt="http://schemas.openxmlformats.org/officeDocument/2006/docPropsVTypes">
  <Pages>9</Pages>
  <Words>4293</Words>
  <Characters>4335</Characters>
  <TotalTime>50</TotalTime>
  <ScaleCrop>false</ScaleCrop>
  <LinksUpToDate>false</LinksUpToDate>
  <CharactersWithSpaces>4336</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2026-08-21T11:47:00Z</dcterms:created>
  <dc:creator>hwenfeng</dc:creator>
  <cp:lastModifiedBy>芳菇凉</cp:lastModifiedBy>
  <dcterms:modified xsi:type="dcterms:W3CDTF">2026-09-03T08:02:39Z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2026-08-25T16:39:44Z</vt:filetime>
  </property>
  <property fmtid="{D5CDD505-2E9C-101B-9397-08002B2CF9AE}" pid="4" name="KSOTemplateDocerSaveRecord">
    <vt:lpwstr>eyJoZGlkIjoiYTQ1N2JkZGRlMjA4ZTU3YjE5ZmQyMmU4MTk5N2ZjZjIiLCJ1c2VySWQiOiIzOTAxMzIxMTgifQ==</vt:lpwstr>
  </property>
  <property fmtid="{D5CDD505-2E9C-101B-9397-08002B2CF9AE}" pid="5" name="KSOProductBuildVer">
    <vt:lpwstr>2052-12.1.0.28043</vt:lpwstr>
  </property>
  <property fmtid="{D5CDD505-2E9C-101B-9397-08002B2CF9AE}" pid="6" name="ICV">
    <vt:lpwstr>7FB3A162812343D193D649A9104992D6_13</vt:lpwstr>
  </property>
</Properties>
</file>