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spacing w:before="100" w:beforeAutospacing="1" w:after="100" w:afterAutospacing="1" w:line="480" w:lineRule="exact"/>
        <w:jc w:val="center"/>
        <w:rPr>
          <w:rFonts w:ascii="宋体" w:hAnsi="宋体" w:eastAsia="宋体" w:cs="宋体"/>
          <w:kern w:val="0"/>
          <w:sz w:val="24"/>
          <w:szCs w:val="24"/>
        </w:rPr>
      </w:pPr>
      <w:r>
        <w:rPr>
          <w:rFonts w:hint="eastAsia" w:ascii="方正小标宋简体" w:hAnsi="微软雅黑" w:eastAsia="方正小标宋简体" w:cs="宋体"/>
          <w:sz w:val="44"/>
          <w:szCs w:val="44"/>
        </w:rPr>
        <w:t>惠安县应急管理局行政处罚公示</w:t>
      </w:r>
    </w:p>
    <w:p>
      <w:pPr>
        <w:widowControl/>
        <w:topLinePunct/>
        <w:spacing w:before="100" w:beforeAutospacing="1" w:after="100" w:afterAutospacing="1" w:line="480" w:lineRule="exact"/>
        <w:ind w:firstLine="2400" w:firstLineChars="750"/>
        <w:rPr>
          <w:rFonts w:ascii="仿宋_GB2312" w:hAnsi="宋体" w:eastAsia="仿宋_GB2312" w:cs="宋体"/>
          <w:sz w:val="32"/>
          <w:szCs w:val="32"/>
        </w:rPr>
      </w:pPr>
      <w:r>
        <w:rPr>
          <w:rFonts w:hint="eastAsia" w:ascii="仿宋_GB2312" w:hAnsi="宋体" w:eastAsia="仿宋_GB2312" w:cs="宋体"/>
          <w:sz w:val="32"/>
          <w:szCs w:val="32"/>
        </w:rPr>
        <w:t>（惠应急罚〔2022〕41号）</w:t>
      </w:r>
    </w:p>
    <w:p>
      <w:pPr>
        <w:widowControl/>
        <w:topLinePunct/>
        <w:spacing w:before="100" w:beforeAutospacing="1" w:after="100" w:afterAutospacing="1" w:line="480" w:lineRule="exact"/>
        <w:ind w:firstLine="640" w:firstLineChars="200"/>
        <w:jc w:val="left"/>
        <w:rPr>
          <w:rFonts w:ascii="宋体" w:hAnsi="宋体" w:eastAsia="宋体" w:cs="宋体"/>
          <w:kern w:val="0"/>
          <w:sz w:val="24"/>
          <w:szCs w:val="24"/>
        </w:rPr>
      </w:pPr>
      <w:r>
        <w:rPr>
          <w:rFonts w:hint="eastAsia" w:ascii="黑体" w:hAnsi="黑体" w:eastAsia="黑体" w:cs="宋体"/>
          <w:sz w:val="32"/>
          <w:szCs w:val="32"/>
        </w:rPr>
        <w:t>一、执法对象基本信息</w:t>
      </w:r>
    </w:p>
    <w:p>
      <w:pPr>
        <w:widowControl/>
        <w:topLinePunct/>
        <w:spacing w:before="100" w:beforeAutospacing="1" w:after="100" w:afterAutospacing="1" w:line="480" w:lineRule="exact"/>
        <w:ind w:firstLine="640" w:firstLineChars="200"/>
        <w:jc w:val="left"/>
        <w:rPr>
          <w:rFonts w:ascii="仿宋_GB2312" w:eastAsia="仿宋_GB2312"/>
          <w:sz w:val="32"/>
          <w:szCs w:val="32"/>
        </w:rPr>
      </w:pPr>
      <w:r>
        <w:rPr>
          <w:rFonts w:hint="eastAsia" w:ascii="仿宋_GB2312" w:hAnsi="宋体" w:eastAsia="仿宋_GB2312" w:cs="宋体"/>
          <w:sz w:val="32"/>
          <w:szCs w:val="32"/>
        </w:rPr>
        <w:t>执法对象：</w:t>
      </w:r>
      <w:r>
        <w:rPr>
          <w:rFonts w:hint="eastAsia" w:ascii="仿宋_GB2312" w:hAnsi="仿宋" w:eastAsia="仿宋_GB2312" w:cs="仿宋"/>
          <w:sz w:val="32"/>
          <w:szCs w:val="32"/>
        </w:rPr>
        <w:t>泉州宏蔺五金工贸</w:t>
      </w:r>
      <w:r>
        <w:rPr>
          <w:rFonts w:hint="eastAsia" w:ascii="仿宋_GB2312" w:hAnsi="Calibri" w:eastAsia="仿宋_GB2312" w:cs="Times New Roman"/>
          <w:sz w:val="32"/>
          <w:szCs w:val="32"/>
        </w:rPr>
        <w:t>有限公司</w:t>
      </w:r>
    </w:p>
    <w:p>
      <w:pPr>
        <w:widowControl/>
        <w:topLinePunct/>
        <w:spacing w:before="100" w:beforeAutospacing="1" w:after="100" w:afterAutospacing="1" w:line="480" w:lineRule="exact"/>
        <w:ind w:firstLine="640" w:firstLineChars="200"/>
        <w:jc w:val="left"/>
        <w:rPr>
          <w:rFonts w:ascii="仿宋_GB2312" w:hAnsi="Helvetica" w:eastAsia="仿宋_GB2312" w:cs="Helvetica"/>
          <w:color w:val="000000"/>
          <w:sz w:val="32"/>
          <w:szCs w:val="32"/>
        </w:rPr>
      </w:pPr>
      <w:r>
        <w:rPr>
          <w:rFonts w:hint="eastAsia" w:ascii="仿宋_GB2312" w:hAnsi="宋体" w:eastAsia="仿宋_GB2312" w:cs="宋体"/>
          <w:sz w:val="32"/>
          <w:szCs w:val="32"/>
        </w:rPr>
        <w:t>社会统一信用代码：</w:t>
      </w:r>
      <w:r>
        <w:rPr>
          <w:rFonts w:hint="eastAsia" w:ascii="仿宋_GB2312" w:hAnsi="Helvetica" w:eastAsia="仿宋_GB2312" w:cs="Helvetica"/>
          <w:color w:val="000000"/>
          <w:sz w:val="32"/>
          <w:szCs w:val="32"/>
        </w:rPr>
        <w:t>91350521MA2YD8CB0E</w:t>
      </w:r>
    </w:p>
    <w:p>
      <w:pPr>
        <w:widowControl/>
        <w:topLinePunct/>
        <w:spacing w:before="100" w:beforeAutospacing="1" w:after="100" w:afterAutospacing="1" w:line="4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法人代表: </w:t>
      </w:r>
      <w:r>
        <w:rPr>
          <w:rFonts w:hint="eastAsia" w:ascii="仿宋_GB2312" w:hAnsi="仿宋" w:eastAsia="仿宋_GB2312" w:cs="仿宋"/>
          <w:color w:val="000000"/>
          <w:sz w:val="32"/>
          <w:szCs w:val="32"/>
        </w:rPr>
        <w:t>段锡强</w:t>
      </w:r>
    </w:p>
    <w:p>
      <w:pPr>
        <w:widowControl/>
        <w:topLinePunct/>
        <w:spacing w:before="100" w:beforeAutospacing="1" w:after="100" w:afterAutospacing="1" w:line="480" w:lineRule="exact"/>
        <w:ind w:firstLine="640" w:firstLineChars="200"/>
        <w:jc w:val="left"/>
        <w:rPr>
          <w:rFonts w:ascii="宋体" w:hAnsi="宋体" w:eastAsia="宋体" w:cs="宋体"/>
          <w:kern w:val="0"/>
          <w:sz w:val="24"/>
          <w:szCs w:val="24"/>
        </w:rPr>
      </w:pPr>
      <w:r>
        <w:rPr>
          <w:rFonts w:hint="eastAsia" w:ascii="黑体" w:hAnsi="黑体" w:eastAsia="黑体" w:cs="宋体"/>
          <w:sz w:val="32"/>
          <w:szCs w:val="32"/>
        </w:rPr>
        <w:t>二、执法内容</w:t>
      </w:r>
    </w:p>
    <w:p>
      <w:pPr>
        <w:widowControl/>
        <w:topLinePunct/>
        <w:spacing w:before="100" w:beforeAutospacing="1" w:after="100" w:afterAutospacing="1"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案由：安全生产隐患管理类违法  </w:t>
      </w:r>
    </w:p>
    <w:p>
      <w:pPr>
        <w:widowControl/>
        <w:topLinePunct/>
        <w:spacing w:before="100" w:beforeAutospacing="1" w:after="100" w:afterAutospacing="1" w:line="480" w:lineRule="exact"/>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案件名称：</w:t>
      </w:r>
      <w:r>
        <w:rPr>
          <w:rFonts w:hint="eastAsia" w:ascii="仿宋_GB2312" w:hAnsi="仿宋" w:eastAsia="仿宋_GB2312" w:cs="仿宋"/>
          <w:sz w:val="32"/>
          <w:szCs w:val="32"/>
        </w:rPr>
        <w:t>泉州宏蔺五金工贸</w:t>
      </w:r>
      <w:r>
        <w:rPr>
          <w:rFonts w:hint="eastAsia" w:ascii="仿宋_GB2312" w:eastAsia="仿宋_GB2312"/>
          <w:sz w:val="32"/>
          <w:szCs w:val="32"/>
        </w:rPr>
        <w:t>有限公司有限空间作业场所未设置明显的安全警示标志案</w:t>
      </w:r>
    </w:p>
    <w:p>
      <w:pPr>
        <w:widowControl/>
        <w:topLinePunct/>
        <w:spacing w:before="100" w:beforeAutospacing="1" w:after="100" w:afterAutospacing="1" w:line="4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案件基本情况：2022年11月4日，惠安县应急管理局执法人员对泉州宏蔺五金工贸有限公司进行安全生产主体责任和有限空间执法检查时，该公司存在酸洗池、天燃气烘烤炉、污水池等有限空间作业场所未进行危害因素辨识并建立有限空间安全管理台账。段苓作为该公司总经理，负责日常生产运营及安全生产管理工作，对该公司未对企业存在有限空间作业场所未进行安全风险辨识并建立有限空间安全管理台账的违法行为负有管理责任。  </w:t>
      </w:r>
    </w:p>
    <w:p>
      <w:pPr>
        <w:widowControl/>
        <w:topLinePunct/>
        <w:spacing w:before="100" w:beforeAutospacing="1" w:after="100" w:afterAutospacing="1" w:line="4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违法行为类型：行政违法行为</w:t>
      </w:r>
    </w:p>
    <w:p>
      <w:pPr>
        <w:widowControl/>
        <w:topLinePunct/>
        <w:spacing w:before="100" w:beforeAutospacing="1" w:after="100" w:afterAutospacing="1"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处罚种类名称：罚款</w:t>
      </w:r>
    </w:p>
    <w:p>
      <w:pPr>
        <w:widowControl/>
        <w:topLinePunct/>
        <w:spacing w:before="100" w:beforeAutospacing="1" w:after="100" w:afterAutospacing="1" w:line="480" w:lineRule="exact"/>
        <w:ind w:firstLine="640" w:firstLineChars="200"/>
        <w:jc w:val="left"/>
        <w:rPr>
          <w:rFonts w:ascii="宋体" w:hAnsi="宋体" w:eastAsia="宋体" w:cs="宋体"/>
          <w:kern w:val="0"/>
          <w:sz w:val="24"/>
          <w:szCs w:val="24"/>
        </w:rPr>
      </w:pPr>
      <w:r>
        <w:rPr>
          <w:rFonts w:hint="eastAsia" w:ascii="黑体" w:hAnsi="黑体" w:eastAsia="黑体" w:cs="宋体"/>
          <w:sz w:val="32"/>
          <w:szCs w:val="32"/>
        </w:rPr>
        <w:t>三、执法决定</w:t>
      </w:r>
    </w:p>
    <w:p>
      <w:pPr>
        <w:widowControl/>
        <w:topLinePunct/>
        <w:spacing w:before="100" w:beforeAutospacing="1" w:after="100" w:afterAutospacing="1" w:line="48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处罚结果：根据《工贸企业有限空间作业安全管理与监督暂行规定》（原国家安监总局令第59号）第七条的规定,依据《工贸企业有限空间作业安全管理与监督暂行规定》（第三十条第一项规定，参照《福建省安全生产行政处罚裁量基准》（2022年版）相关裁量基准。决定</w:t>
      </w:r>
      <w:r>
        <w:rPr>
          <w:rFonts w:hint="eastAsia" w:ascii="仿宋_GB2312" w:hAnsi="宋体" w:eastAsia="仿宋_GB2312" w:cs="宋体"/>
          <w:b/>
          <w:kern w:val="0"/>
          <w:sz w:val="32"/>
          <w:szCs w:val="32"/>
        </w:rPr>
        <w:t>给予处罚款人民币</w:t>
      </w:r>
      <w:r>
        <w:rPr>
          <w:rFonts w:hint="eastAsia" w:ascii="仿宋_GB2312" w:hAnsi="楷体" w:eastAsia="仿宋_GB2312" w:cs="仿宋"/>
          <w:b/>
          <w:sz w:val="32"/>
          <w:szCs w:val="32"/>
        </w:rPr>
        <w:t>陆仟壹佰元（6100元）</w:t>
      </w:r>
      <w:r>
        <w:rPr>
          <w:rFonts w:hint="eastAsia" w:ascii="仿宋_GB2312" w:hAnsi="宋体" w:eastAsia="仿宋_GB2312" w:cs="宋体"/>
          <w:b/>
          <w:kern w:val="0"/>
          <w:sz w:val="32"/>
          <w:szCs w:val="32"/>
        </w:rPr>
        <w:t>的行政处罚。</w:t>
      </w:r>
      <w:r>
        <w:rPr>
          <w:rFonts w:hint="eastAsia" w:ascii="仿宋_GB2312" w:hAnsi="宋体" w:eastAsia="仿宋_GB2312" w:cs="宋体"/>
          <w:kern w:val="0"/>
          <w:sz w:val="32"/>
          <w:szCs w:val="32"/>
        </w:rPr>
        <w:t xml:space="preserve">                            </w:t>
      </w:r>
      <w:r>
        <w:rPr>
          <w:rFonts w:hint="eastAsia" w:ascii="仿宋_GB2312" w:hAnsi="楷体" w:eastAsia="仿宋_GB2312"/>
          <w:sz w:val="32"/>
          <w:szCs w:val="32"/>
        </w:rPr>
        <w:t xml:space="preserve">   </w:t>
      </w:r>
    </w:p>
    <w:p>
      <w:pPr>
        <w:widowControl/>
        <w:topLinePunct/>
        <w:spacing w:before="100" w:beforeAutospacing="1" w:after="100" w:afterAutospacing="1"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sz w:val="32"/>
          <w:szCs w:val="32"/>
        </w:rPr>
        <w:t>处罚决定书文号：惠应急罚〔2022〕41号</w:t>
      </w:r>
    </w:p>
    <w:p>
      <w:pPr>
        <w:widowControl/>
        <w:topLinePunct/>
        <w:spacing w:before="100" w:beforeAutospacing="1" w:after="100" w:afterAutospacing="1"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sz w:val="32"/>
          <w:szCs w:val="32"/>
        </w:rPr>
        <w:t>处罚决定书日期：2022年12月15日</w:t>
      </w:r>
    </w:p>
    <w:p>
      <w:pPr>
        <w:widowControl/>
        <w:topLinePunct/>
        <w:spacing w:before="100" w:beforeAutospacing="1" w:after="100" w:afterAutospacing="1" w:line="480" w:lineRule="exact"/>
        <w:ind w:firstLine="640" w:firstLineChars="200"/>
        <w:jc w:val="left"/>
        <w:rPr>
          <w:rFonts w:ascii="宋体" w:hAnsi="宋体" w:eastAsia="宋体" w:cs="宋体"/>
          <w:kern w:val="0"/>
          <w:sz w:val="24"/>
          <w:szCs w:val="24"/>
        </w:rPr>
      </w:pPr>
      <w:r>
        <w:rPr>
          <w:rFonts w:hint="eastAsia" w:ascii="黑体" w:hAnsi="黑体" w:eastAsia="黑体" w:cs="宋体"/>
          <w:sz w:val="32"/>
          <w:szCs w:val="32"/>
        </w:rPr>
        <w:t>四、执法机关</w:t>
      </w:r>
    </w:p>
    <w:p>
      <w:pPr>
        <w:widowControl/>
        <w:topLinePunct/>
        <w:spacing w:before="100" w:beforeAutospacing="1" w:after="100" w:afterAutospacing="1" w:line="480" w:lineRule="exact"/>
        <w:ind w:firstLine="640" w:firstLineChars="200"/>
        <w:jc w:val="left"/>
        <w:rPr>
          <w:rFonts w:ascii="宋体" w:hAnsi="宋体" w:eastAsia="宋体" w:cs="宋体"/>
          <w:kern w:val="0"/>
          <w:sz w:val="24"/>
          <w:szCs w:val="24"/>
        </w:rPr>
      </w:pPr>
      <w:r>
        <w:rPr>
          <w:rFonts w:hint="eastAsia" w:ascii="仿宋_GB2312" w:hAnsi="宋体" w:eastAsia="仿宋_GB2312" w:cs="宋体"/>
          <w:sz w:val="32"/>
          <w:szCs w:val="32"/>
        </w:rPr>
        <w:t>惠安县应急管理局</w:t>
      </w:r>
    </w:p>
    <w:p>
      <w:pPr>
        <w:widowControl/>
        <w:topLinePunct/>
        <w:spacing w:before="100" w:beforeAutospacing="1" w:after="100" w:afterAutospacing="1" w:line="480" w:lineRule="exact"/>
        <w:ind w:firstLine="640" w:firstLineChars="200"/>
        <w:jc w:val="left"/>
        <w:rPr>
          <w:rFonts w:ascii="宋体" w:hAnsi="宋体" w:eastAsia="宋体" w:cs="宋体"/>
          <w:kern w:val="0"/>
          <w:sz w:val="24"/>
          <w:szCs w:val="24"/>
        </w:rPr>
      </w:pPr>
      <w:r>
        <w:rPr>
          <w:rFonts w:hint="eastAsia" w:ascii="黑体" w:hAnsi="黑体" w:eastAsia="黑体" w:cs="宋体"/>
          <w:sz w:val="32"/>
          <w:szCs w:val="32"/>
        </w:rPr>
        <w:t>五、公示时间</w:t>
      </w:r>
    </w:p>
    <w:p>
      <w:pPr>
        <w:widowControl/>
        <w:topLinePunct/>
        <w:spacing w:before="100" w:beforeAutospacing="1" w:after="100" w:afterAutospacing="1" w:line="48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年1</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日</w:t>
      </w:r>
    </w:p>
    <w:p>
      <w:pPr>
        <w:widowControl/>
        <w:topLinePunct/>
        <w:spacing w:before="100" w:beforeAutospacing="1" w:after="100" w:afterAutospacing="1" w:line="480" w:lineRule="exact"/>
        <w:ind w:firstLine="640" w:firstLineChars="200"/>
        <w:jc w:val="left"/>
        <w:rPr>
          <w:rFonts w:hint="eastAsia" w:ascii="仿宋_GB2312" w:hAnsi="宋体" w:eastAsia="仿宋_GB2312" w:cs="宋体"/>
          <w:sz w:val="32"/>
          <w:szCs w:val="32"/>
        </w:rPr>
      </w:pPr>
    </w:p>
    <w:p>
      <w:pPr>
        <w:widowControl/>
        <w:topLinePunct/>
        <w:spacing w:before="100" w:beforeAutospacing="1" w:after="100" w:afterAutospacing="1" w:line="480" w:lineRule="exact"/>
        <w:ind w:firstLine="640" w:firstLineChars="200"/>
        <w:jc w:val="left"/>
        <w:rPr>
          <w:rFonts w:hint="eastAsia" w:ascii="仿宋_GB2312" w:hAnsi="宋体" w:eastAsia="仿宋_GB2312" w:cs="宋体"/>
          <w:sz w:val="32"/>
          <w:szCs w:val="32"/>
        </w:rPr>
      </w:pPr>
    </w:p>
    <w:p>
      <w:pPr>
        <w:widowControl/>
        <w:topLinePunct/>
        <w:spacing w:before="100" w:beforeAutospacing="1" w:after="100" w:afterAutospacing="1" w:line="480" w:lineRule="exact"/>
        <w:ind w:firstLine="640" w:firstLineChars="200"/>
        <w:jc w:val="left"/>
        <w:rPr>
          <w:rFonts w:hint="eastAsia" w:ascii="仿宋_GB2312" w:hAnsi="宋体" w:eastAsia="仿宋_GB2312" w:cs="宋体"/>
          <w:sz w:val="32"/>
          <w:szCs w:val="32"/>
        </w:rPr>
      </w:pPr>
    </w:p>
    <w:p>
      <w:pPr>
        <w:widowControl/>
        <w:topLinePunct/>
        <w:spacing w:before="100" w:beforeAutospacing="1" w:after="100" w:afterAutospacing="1" w:line="480" w:lineRule="exact"/>
        <w:ind w:firstLine="640" w:firstLineChars="200"/>
        <w:jc w:val="left"/>
        <w:rPr>
          <w:rFonts w:hint="eastAsia" w:ascii="仿宋_GB2312" w:hAnsi="宋体" w:eastAsia="仿宋_GB2312" w:cs="宋体"/>
          <w:sz w:val="32"/>
          <w:szCs w:val="32"/>
        </w:rPr>
      </w:pPr>
    </w:p>
    <w:p>
      <w:pPr>
        <w:widowControl/>
        <w:topLinePunct/>
        <w:spacing w:before="100" w:beforeAutospacing="1" w:after="100" w:afterAutospacing="1" w:line="480" w:lineRule="exact"/>
        <w:ind w:firstLine="640" w:firstLineChars="200"/>
        <w:jc w:val="left"/>
        <w:rPr>
          <w:rFonts w:hint="eastAsia" w:ascii="仿宋_GB2312" w:hAnsi="宋体" w:eastAsia="仿宋_GB2312" w:cs="宋体"/>
          <w:sz w:val="32"/>
          <w:szCs w:val="32"/>
        </w:rPr>
      </w:pPr>
    </w:p>
    <w:p>
      <w:pPr>
        <w:widowControl/>
        <w:topLinePunct/>
        <w:spacing w:before="100" w:beforeAutospacing="1" w:after="100" w:afterAutospacing="1" w:line="480" w:lineRule="exact"/>
        <w:ind w:firstLine="640" w:firstLineChars="200"/>
        <w:jc w:val="left"/>
        <w:rPr>
          <w:rFonts w:hint="eastAsia" w:ascii="仿宋_GB2312" w:hAnsi="宋体" w:eastAsia="仿宋_GB2312" w:cs="宋体"/>
          <w:sz w:val="32"/>
          <w:szCs w:val="32"/>
        </w:rPr>
      </w:pPr>
    </w:p>
    <w:p>
      <w:pPr>
        <w:widowControl/>
        <w:topLinePunct/>
        <w:spacing w:before="100" w:beforeAutospacing="1" w:after="100" w:afterAutospacing="1" w:line="480" w:lineRule="exact"/>
        <w:ind w:firstLine="640" w:firstLineChars="200"/>
        <w:jc w:val="left"/>
        <w:rPr>
          <w:rFonts w:hint="eastAsia" w:ascii="仿宋_GB2312" w:hAnsi="宋体" w:eastAsia="仿宋_GB2312" w:cs="宋体"/>
          <w:sz w:val="32"/>
          <w:szCs w:val="32"/>
        </w:rPr>
      </w:pPr>
    </w:p>
    <w:p>
      <w:pPr>
        <w:topLinePunct/>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惠安县应急管理局安全生产行政处罚信息公开表（2022.</w:t>
      </w:r>
      <w:r>
        <w:rPr>
          <w:rFonts w:hint="eastAsia" w:ascii="黑体" w:hAnsi="黑体" w:eastAsia="黑体" w:cs="黑体"/>
          <w:b/>
          <w:bCs/>
          <w:sz w:val="32"/>
          <w:szCs w:val="32"/>
          <w:lang w:val="en-US" w:eastAsia="zh-CN"/>
        </w:rPr>
        <w:t>12.20</w:t>
      </w:r>
      <w:r>
        <w:rPr>
          <w:rFonts w:hint="eastAsia" w:ascii="黑体" w:hAnsi="黑体" w:eastAsia="黑体" w:cs="黑体"/>
          <w:b/>
          <w:bCs/>
          <w:sz w:val="32"/>
          <w:szCs w:val="32"/>
          <w:lang w:eastAsia="zh-CN"/>
        </w:rPr>
        <w:t>）</w:t>
      </w:r>
    </w:p>
    <w:tbl>
      <w:tblPr>
        <w:tblStyle w:val="6"/>
        <w:tblpPr w:leftFromText="180" w:rightFromText="180" w:vertAnchor="page" w:horzAnchor="page" w:tblpX="1444" w:tblpY="28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2230"/>
        <w:gridCol w:w="1140"/>
        <w:gridCol w:w="3540"/>
        <w:gridCol w:w="2170"/>
        <w:gridCol w:w="1670"/>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1639" w:type="dxa"/>
          </w:tcPr>
          <w:p>
            <w:pPr>
              <w:tabs>
                <w:tab w:val="center" w:pos="894"/>
              </w:tabs>
              <w:jc w:val="left"/>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行政处罚案件名称</w:t>
            </w:r>
          </w:p>
        </w:tc>
        <w:tc>
          <w:tcPr>
            <w:tcW w:w="2230" w:type="dxa"/>
          </w:tcPr>
          <w:p>
            <w:pPr>
              <w:jc w:val="left"/>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被处罚的自然人姓名、企业或者其他组织的名称</w:t>
            </w:r>
          </w:p>
        </w:tc>
        <w:tc>
          <w:tcPr>
            <w:tcW w:w="1140" w:type="dxa"/>
          </w:tcPr>
          <w:p>
            <w:pPr>
              <w:jc w:val="left"/>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法定代表人姓名</w:t>
            </w:r>
          </w:p>
        </w:tc>
        <w:tc>
          <w:tcPr>
            <w:tcW w:w="3540" w:type="dxa"/>
          </w:tcPr>
          <w:p>
            <w:pPr>
              <w:jc w:val="left"/>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主要违法事实</w:t>
            </w:r>
          </w:p>
        </w:tc>
        <w:tc>
          <w:tcPr>
            <w:tcW w:w="2170" w:type="dxa"/>
          </w:tcPr>
          <w:p>
            <w:pPr>
              <w:jc w:val="left"/>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行政处罚的种类和依据</w:t>
            </w:r>
          </w:p>
        </w:tc>
        <w:tc>
          <w:tcPr>
            <w:tcW w:w="1670" w:type="dxa"/>
          </w:tcPr>
          <w:p>
            <w:pPr>
              <w:jc w:val="left"/>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作出行政处罚决定的行政执法机关</w:t>
            </w:r>
          </w:p>
        </w:tc>
        <w:tc>
          <w:tcPr>
            <w:tcW w:w="998" w:type="dxa"/>
          </w:tcPr>
          <w:p>
            <w:pPr>
              <w:jc w:val="left"/>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公开时间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1639" w:type="dxa"/>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泉州宏蔺五金工贸有限公司有限空间作业场所未设置明显的安全警示标志案</w:t>
            </w:r>
          </w:p>
        </w:tc>
        <w:tc>
          <w:tcPr>
            <w:tcW w:w="2230" w:type="dxa"/>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泉州宏蔺五金工贸有限公司</w:t>
            </w:r>
          </w:p>
        </w:tc>
        <w:tc>
          <w:tcPr>
            <w:tcW w:w="1140" w:type="dxa"/>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段锡强</w:t>
            </w:r>
          </w:p>
        </w:tc>
        <w:tc>
          <w:tcPr>
            <w:tcW w:w="3540" w:type="dxa"/>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11月4日，对泉州宏蔺五金工贸有限公司进行执法检查时，该公司存在酸洗池、天燃气烘烤炉、污水池等有限空间作业场所未进行危害因素辨识并建立有限空间安全管理台账。段苓作为该公司总经理，负责日常生产运营及安全生产管理工作，对该公司未对企业存在有限空间作业场所未进行安全风险辨识并建立有限空间安全管理台账的违法行为负有管理责任</w:t>
            </w:r>
          </w:p>
        </w:tc>
        <w:tc>
          <w:tcPr>
            <w:tcW w:w="2170" w:type="dxa"/>
          </w:tcPr>
          <w:p>
            <w:pPr>
              <w:jc w:val="lef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依据《工贸企业有限空间作业安全管理与监督暂行规定》（第三十条第一项规定，参照《福建省安全生产行政处罚裁量基准》（2022年版）相关裁量基准。决定给予:</w:t>
            </w:r>
            <w:r>
              <w:rPr>
                <w:rFonts w:hint="eastAsia" w:ascii="宋体" w:hAnsi="宋体" w:eastAsia="宋体" w:cs="宋体"/>
                <w:sz w:val="24"/>
                <w:szCs w:val="24"/>
                <w:vertAlign w:val="baseline"/>
                <w:lang w:val="en-US" w:eastAsia="zh-CN"/>
              </w:rPr>
              <w:t>1.罚款</w:t>
            </w:r>
          </w:p>
        </w:tc>
        <w:tc>
          <w:tcPr>
            <w:tcW w:w="1670" w:type="dxa"/>
          </w:tcPr>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惠安县应急管理局</w:t>
            </w:r>
          </w:p>
        </w:tc>
        <w:tc>
          <w:tcPr>
            <w:tcW w:w="998" w:type="dxa"/>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2022年12月</w:t>
            </w:r>
            <w:r>
              <w:rPr>
                <w:rFonts w:hint="eastAsia" w:ascii="宋体" w:hAnsi="宋体" w:cs="宋体"/>
                <w:sz w:val="24"/>
                <w:szCs w:val="24"/>
                <w:vertAlign w:val="baseline"/>
                <w:lang w:val="en-US" w:eastAsia="zh-CN"/>
              </w:rPr>
              <w:t>20</w:t>
            </w:r>
            <w:r>
              <w:rPr>
                <w:rFonts w:hint="eastAsia" w:ascii="宋体" w:hAnsi="宋体" w:eastAsia="宋体" w:cs="宋体"/>
                <w:sz w:val="24"/>
                <w:szCs w:val="24"/>
                <w:vertAlign w:val="baseline"/>
                <w:lang w:val="en-US" w:eastAsia="zh-CN"/>
              </w:rPr>
              <w:t>日</w:t>
            </w:r>
          </w:p>
        </w:tc>
      </w:tr>
    </w:tbl>
    <w:p>
      <w:pPr>
        <w:keepNext w:val="0"/>
        <w:keepLines w:val="0"/>
        <w:pageBreakBefore w:val="0"/>
        <w:widowControl w:val="0"/>
        <w:kinsoku/>
        <w:wordWrap/>
        <w:overflowPunct/>
        <w:topLinePunct/>
        <w:autoSpaceDE/>
        <w:autoSpaceDN/>
        <w:bidi w:val="0"/>
        <w:adjustRightInd/>
        <w:snapToGrid/>
        <w:spacing w:line="480" w:lineRule="exact"/>
        <w:textAlignment w:val="auto"/>
        <w:rPr>
          <w:rFonts w:hint="eastAsia" w:ascii="黑体" w:hAnsi="黑体" w:eastAsia="黑体" w:cs="黑体"/>
          <w:sz w:val="28"/>
          <w:szCs w:val="28"/>
          <w:lang w:eastAsia="zh-CN"/>
        </w:rPr>
      </w:pPr>
    </w:p>
    <w:p>
      <w:pPr>
        <w:widowControl w:val="0"/>
        <w:wordWrap/>
        <w:adjustRightInd/>
        <w:snapToGrid/>
        <w:spacing w:line="580" w:lineRule="exact"/>
        <w:ind w:left="0" w:leftChars="0" w:right="0"/>
        <w:textAlignment w:val="auto"/>
        <w:outlineLvl w:val="9"/>
        <w:rPr>
          <w:rFonts w:hint="eastAsia" w:ascii="黑体" w:hAnsi="黑体" w:eastAsia="黑体" w:cs="黑体"/>
          <w:sz w:val="28"/>
          <w:szCs w:val="28"/>
          <w:lang w:eastAsia="zh-CN"/>
        </w:rPr>
      </w:pPr>
    </w:p>
    <w:p>
      <w:pPr>
        <w:widowControl w:val="0"/>
        <w:wordWrap/>
        <w:adjustRightInd/>
        <w:snapToGrid/>
        <w:spacing w:line="580" w:lineRule="exact"/>
        <w:ind w:left="0" w:leftChars="0" w:right="0"/>
        <w:textAlignment w:val="auto"/>
        <w:outlineLvl w:val="9"/>
        <w:rPr>
          <w:rFonts w:hint="eastAsia" w:ascii="黑体" w:hAnsi="黑体" w:eastAsia="黑体" w:cs="黑体"/>
          <w:sz w:val="28"/>
          <w:szCs w:val="28"/>
          <w:lang w:eastAsia="zh-CN"/>
        </w:rPr>
      </w:pPr>
    </w:p>
    <w:p>
      <w:pPr>
        <w:widowControl w:val="0"/>
        <w:wordWrap/>
        <w:adjustRightInd/>
        <w:snapToGrid/>
        <w:spacing w:line="580" w:lineRule="exact"/>
        <w:ind w:left="0" w:leftChars="0" w:right="0"/>
        <w:textAlignment w:val="auto"/>
        <w:outlineLvl w:val="9"/>
        <w:rPr>
          <w:rFonts w:hint="eastAsia" w:ascii="黑体" w:hAnsi="黑体" w:eastAsia="黑体" w:cs="黑体"/>
          <w:sz w:val="28"/>
          <w:szCs w:val="28"/>
          <w:lang w:eastAsia="zh-CN"/>
        </w:rPr>
      </w:pPr>
    </w:p>
    <w:p>
      <w:pPr>
        <w:widowControl w:val="0"/>
        <w:wordWrap/>
        <w:adjustRightInd/>
        <w:snapToGrid/>
        <w:spacing w:line="580" w:lineRule="exact"/>
        <w:ind w:left="0" w:leftChars="0" w:right="0"/>
        <w:textAlignment w:val="auto"/>
        <w:outlineLvl w:val="9"/>
        <w:rPr>
          <w:rFonts w:hint="eastAsia" w:ascii="黑体" w:hAnsi="黑体" w:eastAsia="黑体" w:cs="黑体"/>
          <w:sz w:val="28"/>
          <w:szCs w:val="28"/>
          <w:lang w:eastAsia="zh-CN"/>
        </w:rPr>
      </w:pPr>
    </w:p>
    <w:p>
      <w:pPr>
        <w:widowControl w:val="0"/>
        <w:wordWrap/>
        <w:adjustRightInd/>
        <w:snapToGrid/>
        <w:spacing w:line="580" w:lineRule="exact"/>
        <w:ind w:left="0" w:leftChars="0" w:right="0"/>
        <w:textAlignment w:val="auto"/>
        <w:outlineLvl w:val="9"/>
        <w:rPr>
          <w:rFonts w:hint="eastAsia" w:ascii="黑体" w:hAnsi="黑体" w:eastAsia="黑体" w:cs="黑体"/>
          <w:sz w:val="28"/>
          <w:szCs w:val="28"/>
          <w:lang w:eastAsia="zh-CN"/>
        </w:rPr>
      </w:pPr>
    </w:p>
    <w:p>
      <w:pPr>
        <w:widowControl w:val="0"/>
        <w:wordWrap/>
        <w:adjustRightInd/>
        <w:snapToGrid/>
        <w:spacing w:line="580" w:lineRule="exact"/>
        <w:ind w:left="0" w:leftChars="0" w:right="0"/>
        <w:textAlignment w:val="auto"/>
        <w:outlineLvl w:val="9"/>
        <w:rPr>
          <w:rFonts w:hint="eastAsia" w:ascii="黑体" w:hAnsi="黑体" w:eastAsia="黑体" w:cs="黑体"/>
          <w:sz w:val="28"/>
          <w:szCs w:val="28"/>
          <w:lang w:eastAsia="zh-CN"/>
        </w:rPr>
      </w:pPr>
    </w:p>
    <w:p>
      <w:pPr>
        <w:widowControl w:val="0"/>
        <w:wordWrap/>
        <w:adjustRightInd/>
        <w:snapToGrid/>
        <w:spacing w:line="580" w:lineRule="exact"/>
        <w:ind w:left="0" w:leftChars="0" w:right="0"/>
        <w:textAlignment w:val="auto"/>
        <w:outlineLvl w:val="9"/>
        <w:rPr>
          <w:rFonts w:hint="eastAsia" w:ascii="黑体" w:hAnsi="黑体" w:eastAsia="黑体" w:cs="黑体"/>
          <w:sz w:val="28"/>
          <w:szCs w:val="28"/>
          <w:lang w:eastAsia="zh-CN"/>
        </w:rPr>
      </w:pPr>
    </w:p>
    <w:p>
      <w:pPr>
        <w:widowControl w:val="0"/>
        <w:wordWrap/>
        <w:adjustRightInd/>
        <w:snapToGrid/>
        <w:spacing w:line="580" w:lineRule="exact"/>
        <w:ind w:left="0" w:leftChars="0" w:right="0"/>
        <w:textAlignment w:val="auto"/>
        <w:outlineLvl w:val="9"/>
        <w:rPr>
          <w:rFonts w:hint="eastAsia" w:ascii="黑体" w:hAnsi="黑体" w:eastAsia="黑体" w:cs="黑体"/>
          <w:sz w:val="28"/>
          <w:szCs w:val="28"/>
          <w:lang w:eastAsia="zh-CN"/>
        </w:rPr>
      </w:pPr>
    </w:p>
    <w:p>
      <w:pPr>
        <w:widowControl w:val="0"/>
        <w:wordWrap/>
        <w:adjustRightInd/>
        <w:snapToGrid/>
        <w:spacing w:line="580" w:lineRule="exact"/>
        <w:ind w:left="0" w:leftChars="0" w:right="0"/>
        <w:textAlignment w:val="auto"/>
        <w:outlineLvl w:val="9"/>
        <w:rPr>
          <w:rFonts w:hint="eastAsia" w:ascii="黑体" w:hAnsi="黑体" w:eastAsia="黑体" w:cs="黑体"/>
          <w:sz w:val="28"/>
          <w:szCs w:val="28"/>
          <w:lang w:eastAsia="zh-CN"/>
        </w:rPr>
      </w:pPr>
    </w:p>
    <w:p>
      <w:pPr>
        <w:widowControl w:val="0"/>
        <w:wordWrap/>
        <w:adjustRightInd/>
        <w:snapToGrid/>
        <w:spacing w:line="580" w:lineRule="exact"/>
        <w:ind w:left="0" w:leftChars="0" w:right="0"/>
        <w:textAlignment w:val="auto"/>
        <w:outlineLvl w:val="9"/>
        <w:rPr>
          <w:rFonts w:hint="eastAsia" w:ascii="黑体" w:hAnsi="黑体" w:eastAsia="黑体" w:cs="黑体"/>
          <w:sz w:val="28"/>
          <w:szCs w:val="28"/>
          <w:lang w:eastAsia="zh-CN"/>
        </w:rPr>
      </w:pPr>
    </w:p>
    <w:p>
      <w:pPr>
        <w:widowControl w:val="0"/>
        <w:wordWrap/>
        <w:adjustRightInd/>
        <w:snapToGrid/>
        <w:spacing w:line="580" w:lineRule="exact"/>
        <w:ind w:left="0" w:leftChars="0" w:right="0"/>
        <w:textAlignment w:val="auto"/>
        <w:outlineLvl w:val="9"/>
      </w:pPr>
      <w:r>
        <w:rPr>
          <w:rFonts w:hint="eastAsia" w:ascii="黑体" w:hAnsi="黑体" w:eastAsia="黑体" w:cs="黑体"/>
          <w:sz w:val="28"/>
          <w:szCs w:val="28"/>
          <w:lang w:eastAsia="zh-CN"/>
        </w:rPr>
        <w:t>附件：惠安县应急管理局行政处罚决定书（</w:t>
      </w:r>
      <w:r>
        <w:rPr>
          <w:rFonts w:hint="eastAsia" w:ascii="宋体" w:hAnsi="宋体" w:eastAsia="宋体" w:cs="宋体"/>
          <w:sz w:val="24"/>
          <w:szCs w:val="24"/>
          <w:vertAlign w:val="baseline"/>
          <w:lang w:eastAsia="zh-CN"/>
        </w:rPr>
        <w:t>泉州宏蔺五金工贸有限公司有限空间作业场所未设置明显的安全警示标志案</w:t>
      </w:r>
      <w:bookmarkStart w:id="0" w:name="_GoBack"/>
      <w:bookmarkEnd w:id="0"/>
      <w:r>
        <w:rPr>
          <w:rFonts w:hint="eastAsia" w:ascii="宋体" w:hAnsi="宋体" w:eastAsia="宋体" w:cs="宋体"/>
          <w:sz w:val="24"/>
          <w:szCs w:val="24"/>
          <w:vertAlign w:val="baseline"/>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3YWY0M2FiN2Q1ODI1YzRiMWNjOGUzYTM0OTUzNDEifQ=="/>
  </w:docVars>
  <w:rsids>
    <w:rsidRoot w:val="002B0D7E"/>
    <w:rsid w:val="00020C58"/>
    <w:rsid w:val="000462CC"/>
    <w:rsid w:val="000779D8"/>
    <w:rsid w:val="000D68FE"/>
    <w:rsid w:val="0016076C"/>
    <w:rsid w:val="00176B93"/>
    <w:rsid w:val="0018480B"/>
    <w:rsid w:val="0021293B"/>
    <w:rsid w:val="00236291"/>
    <w:rsid w:val="00243E1F"/>
    <w:rsid w:val="002923F5"/>
    <w:rsid w:val="002A1DFB"/>
    <w:rsid w:val="002B0D7E"/>
    <w:rsid w:val="002B4CB2"/>
    <w:rsid w:val="00334190"/>
    <w:rsid w:val="00337150"/>
    <w:rsid w:val="0034178D"/>
    <w:rsid w:val="003843FB"/>
    <w:rsid w:val="003A61B4"/>
    <w:rsid w:val="00410A23"/>
    <w:rsid w:val="00417C17"/>
    <w:rsid w:val="004B0DB2"/>
    <w:rsid w:val="00552099"/>
    <w:rsid w:val="00565098"/>
    <w:rsid w:val="005D0C8A"/>
    <w:rsid w:val="005F47B0"/>
    <w:rsid w:val="006D09BE"/>
    <w:rsid w:val="00710FA4"/>
    <w:rsid w:val="0071669D"/>
    <w:rsid w:val="00792156"/>
    <w:rsid w:val="007D2AF1"/>
    <w:rsid w:val="007E121D"/>
    <w:rsid w:val="00802958"/>
    <w:rsid w:val="008A0194"/>
    <w:rsid w:val="008B18A3"/>
    <w:rsid w:val="008F6918"/>
    <w:rsid w:val="009616F8"/>
    <w:rsid w:val="00985E3C"/>
    <w:rsid w:val="00995090"/>
    <w:rsid w:val="009C00C8"/>
    <w:rsid w:val="00A34BC5"/>
    <w:rsid w:val="00A635D1"/>
    <w:rsid w:val="00A67034"/>
    <w:rsid w:val="00AE2FED"/>
    <w:rsid w:val="00B067DC"/>
    <w:rsid w:val="00B32E60"/>
    <w:rsid w:val="00B6273E"/>
    <w:rsid w:val="00BA41B9"/>
    <w:rsid w:val="00C6689F"/>
    <w:rsid w:val="00D13D13"/>
    <w:rsid w:val="00D26386"/>
    <w:rsid w:val="00D5330E"/>
    <w:rsid w:val="00D767B6"/>
    <w:rsid w:val="00D8276A"/>
    <w:rsid w:val="00D96DC6"/>
    <w:rsid w:val="00DA0B83"/>
    <w:rsid w:val="00DD34DB"/>
    <w:rsid w:val="00DE1C36"/>
    <w:rsid w:val="00E37D22"/>
    <w:rsid w:val="00EF66A2"/>
    <w:rsid w:val="00F33B4F"/>
    <w:rsid w:val="00F6166D"/>
    <w:rsid w:val="00FB3DBE"/>
    <w:rsid w:val="162419F3"/>
    <w:rsid w:val="280E5F0F"/>
    <w:rsid w:val="364D38F8"/>
    <w:rsid w:val="4447497A"/>
    <w:rsid w:val="59AA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994</Words>
  <Characters>1060</Characters>
  <Lines>4</Lines>
  <Paragraphs>1</Paragraphs>
  <TotalTime>0</TotalTime>
  <ScaleCrop>false</ScaleCrop>
  <LinksUpToDate>false</LinksUpToDate>
  <CharactersWithSpaces>1096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2021-08-30T01:35:00Z</dcterms:created>
  <dc:creator>Administrator</dc:creator>
  <cp:lastModifiedBy>雒河</cp:lastModifiedBy>
  <cp:lastPrinted>2023-01-09T03:45:00Z</cp:lastPrinted>
  <dcterms:modified xsi:type="dcterms:W3CDTF">2023-01-16T01:16:33Z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19F4C0F61A2A46C996DE17FBAEC17D0B</vt:lpwstr>
  </property>
</Properties>
</file>