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opLinePunct/>
        <w:spacing w:before="100" w:beforeAutospacing="1" w:after="100" w:afterAutospacing="1" w:line="480" w:lineRule="exact"/>
        <w:jc w:val="center"/>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topLinePunct/>
        <w:spacing w:before="100" w:beforeAutospacing="1" w:after="100" w:afterAutospacing="1" w:line="480" w:lineRule="exact"/>
        <w:ind w:firstLine="2400" w:firstLineChars="750"/>
        <w:rPr>
          <w:rFonts w:ascii="仿宋_GB2312" w:hAnsi="宋体" w:eastAsia="仿宋_GB2312" w:cs="宋体"/>
          <w:sz w:val="32"/>
          <w:szCs w:val="32"/>
        </w:rPr>
      </w:pPr>
      <w:r>
        <w:rPr>
          <w:rFonts w:hint="eastAsia" w:ascii="仿宋_GB2312" w:hAnsi="宋体" w:eastAsia="仿宋_GB2312" w:cs="宋体"/>
          <w:sz w:val="32"/>
          <w:szCs w:val="32"/>
        </w:rPr>
        <w:t>（惠应急罚〔2022〕54号）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一、执法对象基本信息</w:t>
      </w:r>
    </w:p>
    <w:p>
      <w:pPr>
        <w:widowControl/>
        <w:topLinePunct/>
        <w:spacing w:before="100" w:beforeAutospacing="1" w:after="100" w:afterAutospacing="1" w:line="480" w:lineRule="exact"/>
        <w:ind w:firstLine="640" w:firstLineChars="200"/>
        <w:jc w:val="left"/>
        <w:rPr>
          <w:rFonts w:ascii="仿宋_GB2312" w:hAnsi="仿宋" w:eastAsia="仿宋_GB2312"/>
          <w:sz w:val="32"/>
          <w:szCs w:val="32"/>
        </w:rPr>
      </w:pPr>
      <w:r>
        <w:rPr>
          <w:rFonts w:hint="eastAsia" w:ascii="仿宋_GB2312" w:hAnsi="宋体" w:eastAsia="仿宋_GB2312" w:cs="宋体"/>
          <w:sz w:val="32"/>
          <w:szCs w:val="32"/>
        </w:rPr>
        <w:t>执法对象：</w:t>
      </w:r>
      <w:r>
        <w:rPr>
          <w:rFonts w:hint="eastAsia" w:ascii="仿宋_GB2312" w:hAnsi="Helvetica" w:eastAsia="仿宋_GB2312" w:cs="Times New Roman"/>
          <w:color w:val="333333"/>
          <w:sz w:val="32"/>
          <w:szCs w:val="32"/>
        </w:rPr>
        <w:t>洪文海</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执法对象基本情况：福建惠安县长兴工贸有限公司法人代表</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二、执法内容</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案由：安全生产承包租赁类违法  </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案件名称：福建惠安县长兴工贸有限公司洪文海未与承租单位签订安全生产管理协议案                              </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案件基本情况：2022年12月1日，惠安县县安办组织对福建惠安县长兴工贸有限公司开展</w:t>
      </w:r>
      <w:r>
        <w:rPr>
          <w:rFonts w:ascii="仿宋_GB2312" w:hAnsi="宋体" w:eastAsia="仿宋_GB2312" w:cs="宋体"/>
          <w:sz w:val="32"/>
          <w:szCs w:val="32"/>
        </w:rPr>
        <w:t>安全生产</w:t>
      </w:r>
      <w:r>
        <w:rPr>
          <w:rFonts w:hint="eastAsia" w:ascii="仿宋_GB2312" w:hAnsi="宋体" w:eastAsia="仿宋_GB2312" w:cs="宋体"/>
          <w:sz w:val="32"/>
          <w:szCs w:val="32"/>
        </w:rPr>
        <w:t>联合</w:t>
      </w:r>
      <w:r>
        <w:rPr>
          <w:rFonts w:ascii="仿宋_GB2312" w:hAnsi="宋体" w:eastAsia="仿宋_GB2312" w:cs="宋体"/>
          <w:sz w:val="32"/>
          <w:szCs w:val="32"/>
        </w:rPr>
        <w:t>检查</w:t>
      </w:r>
      <w:r>
        <w:rPr>
          <w:rFonts w:hint="eastAsia" w:ascii="仿宋_GB2312" w:hAnsi="宋体" w:eastAsia="仿宋_GB2312" w:cs="宋体"/>
          <w:sz w:val="32"/>
          <w:szCs w:val="32"/>
        </w:rPr>
        <w:t xml:space="preserve">时，发现福建惠安县长兴工贸有限公司未与承租的生产经营单位签订安全生产管理协议，并统一协调、管理安全生产管理工作。洪文海作为该公司法人代表，对该公司未按照《中华人民共和国安全生产法》的相关规定与承租的生产经营单位签订专门的安全生产管理协议，并统一协调、管理安全生产管理工作负有管理责任。  </w:t>
      </w:r>
    </w:p>
    <w:p>
      <w:pPr>
        <w:widowControl/>
        <w:topLinePunct/>
        <w:spacing w:before="100" w:beforeAutospacing="1" w:after="100" w:afterAutospacing="1"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违法行为类型：行政违法行为    </w:t>
      </w:r>
    </w:p>
    <w:p>
      <w:pPr>
        <w:widowControl/>
        <w:topLinePunct/>
        <w:spacing w:before="100" w:beforeAutospacing="1" w:after="100" w:afterAutospacing="1" w:line="4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sz w:val="32"/>
          <w:szCs w:val="32"/>
        </w:rPr>
        <w:t>处罚种类名称：罚款</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三、执法决定</w:t>
      </w:r>
    </w:p>
    <w:p>
      <w:pPr>
        <w:widowControl/>
        <w:topLinePunct/>
        <w:spacing w:before="100" w:beforeAutospacing="1" w:after="100" w:afterAutospacing="1" w:line="48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处罚结果：根据《中华人民共和国安全生产法》第四十九条第二款的规定，依据《中华人民共和国安全生产法》第一百零三条第二款的规定。按照《福建省安全生产行政处罚裁量基准》（2022年版）关于《中华人民共和国安全生产法》第一百零三条第二款第一阶次的裁量基准。决定给予作出处罚款人民币2500元（贰仟伍佰元）的行政处罚。</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处罚决定书文号：惠应急罚〔2022〕54号</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处罚决定书日期：2023年1月6日</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四、执法机关</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惠安县应急管理局</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黑体" w:hAnsi="黑体" w:eastAsia="黑体" w:cs="宋体"/>
          <w:sz w:val="32"/>
          <w:szCs w:val="32"/>
        </w:rPr>
        <w:t>五、公示时间</w:t>
      </w:r>
    </w:p>
    <w:p>
      <w:pPr>
        <w:widowControl/>
        <w:topLinePunct/>
        <w:spacing w:before="100" w:beforeAutospacing="1" w:after="100" w:afterAutospacing="1" w:line="480" w:lineRule="exact"/>
        <w:ind w:firstLine="640" w:firstLineChars="200"/>
        <w:jc w:val="left"/>
        <w:rPr>
          <w:rFonts w:ascii="宋体" w:hAnsi="宋体" w:eastAsia="宋体" w:cs="宋体"/>
          <w:kern w:val="0"/>
          <w:sz w:val="24"/>
          <w:szCs w:val="24"/>
        </w:rPr>
      </w:pPr>
      <w:r>
        <w:rPr>
          <w:rFonts w:hint="eastAsia" w:ascii="仿宋_GB2312" w:hAnsi="宋体" w:eastAsia="仿宋_GB2312" w:cs="宋体"/>
          <w:sz w:val="32"/>
          <w:szCs w:val="32"/>
        </w:rPr>
        <w:t>2023年1月</w:t>
      </w:r>
      <w:r>
        <w:rPr>
          <w:rFonts w:hint="eastAsia" w:ascii="仿宋_GB2312" w:hAnsi="宋体" w:eastAsia="仿宋_GB2312" w:cs="宋体"/>
          <w:sz w:val="32"/>
          <w:szCs w:val="32"/>
          <w:lang w:val="en-US" w:eastAsia="zh-CN"/>
        </w:rPr>
        <w:t>12</w:t>
      </w:r>
      <w:r>
        <w:rPr>
          <w:rFonts w:hint="eastAsia" w:ascii="仿宋_GB2312" w:hAnsi="宋体" w:eastAsia="仿宋_GB2312" w:cs="宋体"/>
          <w:sz w:val="32"/>
          <w:szCs w:val="32"/>
        </w:rPr>
        <w:t>日</w:t>
      </w: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pPr>
    </w:p>
    <w:p>
      <w:pPr>
        <w:topLinePunct/>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惠安县应急管理局安全生产行政处罚信息公开表（202</w:t>
      </w:r>
      <w:r>
        <w:rPr>
          <w:rFonts w:hint="eastAsia" w:ascii="黑体" w:hAnsi="黑体" w:eastAsia="黑体" w:cs="黑体"/>
          <w:b/>
          <w:bCs/>
          <w:sz w:val="32"/>
          <w:szCs w:val="32"/>
          <w:lang w:val="en-US" w:eastAsia="zh-CN"/>
        </w:rPr>
        <w:t>3.1.12</w:t>
      </w:r>
      <w:r>
        <w:rPr>
          <w:rFonts w:hint="eastAsia" w:ascii="黑体" w:hAnsi="黑体" w:eastAsia="黑体" w:cs="黑体"/>
          <w:b/>
          <w:bCs/>
          <w:sz w:val="32"/>
          <w:szCs w:val="32"/>
          <w:lang w:eastAsia="zh-CN"/>
        </w:rPr>
        <w:t>）</w:t>
      </w:r>
    </w:p>
    <w:tbl>
      <w:tblPr>
        <w:tblStyle w:val="6"/>
        <w:tblpPr w:leftFromText="180" w:rightFromText="180" w:vertAnchor="page" w:horzAnchor="page" w:tblpX="1444" w:tblpY="28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230"/>
        <w:gridCol w:w="1140"/>
        <w:gridCol w:w="3540"/>
        <w:gridCol w:w="2170"/>
        <w:gridCol w:w="167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1639" w:type="dxa"/>
          </w:tcPr>
          <w:p>
            <w:pPr>
              <w:tabs>
                <w:tab w:val="center" w:pos="894"/>
              </w:tabs>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行政处罚案件名称</w:t>
            </w:r>
          </w:p>
        </w:tc>
        <w:tc>
          <w:tcPr>
            <w:tcW w:w="223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被处罚的自然人姓名、企业或者其他组织的名称</w:t>
            </w:r>
          </w:p>
        </w:tc>
        <w:tc>
          <w:tcPr>
            <w:tcW w:w="1140" w:type="dxa"/>
          </w:tcPr>
          <w:p>
            <w:pPr>
              <w:jc w:val="left"/>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法定代表人姓名</w:t>
            </w:r>
          </w:p>
        </w:tc>
        <w:tc>
          <w:tcPr>
            <w:tcW w:w="354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主要违法事实</w:t>
            </w:r>
          </w:p>
        </w:tc>
        <w:tc>
          <w:tcPr>
            <w:tcW w:w="217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行政处罚的种类和依据</w:t>
            </w:r>
          </w:p>
        </w:tc>
        <w:tc>
          <w:tcPr>
            <w:tcW w:w="1670"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作出行政处罚决定的行政执法机关</w:t>
            </w:r>
          </w:p>
        </w:tc>
        <w:tc>
          <w:tcPr>
            <w:tcW w:w="998" w:type="dxa"/>
          </w:tcPr>
          <w:p>
            <w:pPr>
              <w:jc w:val="left"/>
              <w:rPr>
                <w:rFonts w:hint="eastAsia" w:ascii="仿宋_GB2312" w:hAnsi="仿宋_GB2312" w:eastAsia="仿宋_GB2312" w:cs="仿宋_GB2312"/>
                <w:b/>
                <w:bCs/>
                <w:sz w:val="28"/>
                <w:szCs w:val="28"/>
                <w:vertAlign w:val="baseline"/>
              </w:rPr>
            </w:pPr>
            <w:r>
              <w:rPr>
                <w:rFonts w:hint="eastAsia" w:ascii="仿宋_GB2312" w:hAnsi="仿宋_GB2312" w:eastAsia="仿宋_GB2312" w:cs="仿宋_GB2312"/>
                <w:b/>
                <w:bCs/>
                <w:sz w:val="28"/>
                <w:szCs w:val="28"/>
                <w:vertAlign w:val="baseline"/>
              </w:rPr>
              <w:t>公开时间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1639"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福建惠安县长兴工贸有限公司洪文海未与承租单位签订安全生产管理协议案</w:t>
            </w:r>
          </w:p>
        </w:tc>
        <w:tc>
          <w:tcPr>
            <w:tcW w:w="2230"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洪文海</w:t>
            </w:r>
          </w:p>
        </w:tc>
        <w:tc>
          <w:tcPr>
            <w:tcW w:w="1140" w:type="dxa"/>
          </w:tcPr>
          <w:p>
            <w:pPr>
              <w:jc w:val="left"/>
              <w:rPr>
                <w:rFonts w:hint="eastAsia" w:ascii="宋体" w:hAnsi="宋体" w:eastAsia="宋体" w:cs="宋体"/>
                <w:sz w:val="24"/>
                <w:szCs w:val="24"/>
                <w:vertAlign w:val="baseline"/>
                <w:lang w:eastAsia="zh-CN"/>
              </w:rPr>
            </w:pPr>
          </w:p>
        </w:tc>
        <w:tc>
          <w:tcPr>
            <w:tcW w:w="3540"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2022年12月1日，在对福建惠安县长兴工贸有限公司开展安全生产联合检查时，发现福建惠安县长兴工贸有限公司未与承租的生产经营单位签订安全生产管理协议，并统一协调、管理安全生产管理工作。洪文海作为该公司法人代表，对该公司未按照《中华人民共和国安全生产法》的相关规定与承租的生产经营单位签订专门的安全生产管理协议，并统一协调、管理安全生产管理工作负有管理责任</w:t>
            </w:r>
          </w:p>
        </w:tc>
        <w:tc>
          <w:tcPr>
            <w:tcW w:w="2170" w:type="dxa"/>
          </w:tcPr>
          <w:p>
            <w:pPr>
              <w:jc w:val="left"/>
              <w:rPr>
                <w:rFonts w:hint="default"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依据《中华人民共和国安全生产法》第一百零三条第二款的规定。按照《福建省安全生产行政处罚裁量基准》（2022年版）关于《中华人民共和国安全生产法》第一百零三条第二款第一阶次的裁量基准。决定给予:</w:t>
            </w:r>
            <w:r>
              <w:rPr>
                <w:rFonts w:hint="eastAsia" w:ascii="宋体" w:hAnsi="宋体" w:eastAsia="宋体" w:cs="宋体"/>
                <w:sz w:val="24"/>
                <w:szCs w:val="24"/>
                <w:vertAlign w:val="baseline"/>
                <w:lang w:val="en-US" w:eastAsia="zh-CN"/>
              </w:rPr>
              <w:t>1.罚款</w:t>
            </w:r>
          </w:p>
        </w:tc>
        <w:tc>
          <w:tcPr>
            <w:tcW w:w="1670" w:type="dxa"/>
          </w:tcPr>
          <w:p>
            <w:pPr>
              <w:jc w:val="left"/>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惠安县应急管理局</w:t>
            </w:r>
          </w:p>
        </w:tc>
        <w:tc>
          <w:tcPr>
            <w:tcW w:w="998" w:type="dxa"/>
          </w:tcPr>
          <w:p>
            <w:p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2023年1月</w:t>
            </w:r>
            <w:r>
              <w:rPr>
                <w:rFonts w:hint="eastAsia" w:ascii="宋体" w:hAnsi="宋体" w:cs="宋体"/>
                <w:sz w:val="24"/>
                <w:szCs w:val="24"/>
                <w:vertAlign w:val="baseline"/>
                <w:lang w:val="en-US" w:eastAsia="zh-CN"/>
              </w:rPr>
              <w:t>12</w:t>
            </w:r>
            <w:r>
              <w:rPr>
                <w:rFonts w:hint="eastAsia" w:ascii="宋体" w:hAnsi="宋体" w:eastAsia="宋体" w:cs="宋体"/>
                <w:sz w:val="24"/>
                <w:szCs w:val="24"/>
                <w:vertAlign w:val="baseline"/>
                <w:lang w:val="en-US" w:eastAsia="zh-CN"/>
              </w:rPr>
              <w:t>日</w:t>
            </w:r>
          </w:p>
        </w:tc>
      </w:tr>
    </w:tbl>
    <w:p>
      <w:pPr>
        <w:keepNext w:val="0"/>
        <w:keepLines w:val="0"/>
        <w:pageBreakBefore w:val="0"/>
        <w:widowControl w:val="0"/>
        <w:kinsoku/>
        <w:wordWrap/>
        <w:overflowPunct/>
        <w:topLinePunct/>
        <w:autoSpaceDE/>
        <w:autoSpaceDN/>
        <w:bidi w:val="0"/>
        <w:adjustRightInd/>
        <w:snapToGrid/>
        <w:spacing w:line="480" w:lineRule="exact"/>
        <w:textAlignment w:val="auto"/>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rPr>
          <w:rFonts w:hint="eastAsia" w:ascii="黑体" w:hAnsi="黑体" w:eastAsia="黑体" w:cs="黑体"/>
          <w:sz w:val="28"/>
          <w:szCs w:val="28"/>
          <w:lang w:eastAsia="zh-CN"/>
        </w:rPr>
      </w:pPr>
    </w:p>
    <w:p>
      <w:pPr>
        <w:widowControl w:val="0"/>
        <w:wordWrap/>
        <w:adjustRightInd/>
        <w:snapToGrid/>
        <w:spacing w:line="580" w:lineRule="exact"/>
        <w:ind w:left="0" w:leftChars="0" w:right="0"/>
        <w:textAlignment w:val="auto"/>
        <w:outlineLvl w:val="9"/>
      </w:pPr>
      <w:r>
        <w:rPr>
          <w:rFonts w:hint="eastAsia" w:ascii="黑体" w:hAnsi="黑体" w:eastAsia="黑体" w:cs="黑体"/>
          <w:sz w:val="28"/>
          <w:szCs w:val="28"/>
          <w:lang w:eastAsia="zh-CN"/>
        </w:rPr>
        <w:t>附件：惠安县应急管理局行政处罚决定书（</w:t>
      </w:r>
      <w:r>
        <w:rPr>
          <w:rFonts w:hint="eastAsia" w:ascii="宋体" w:hAnsi="宋体" w:eastAsia="宋体" w:cs="宋体"/>
          <w:sz w:val="24"/>
          <w:szCs w:val="24"/>
          <w:vertAlign w:val="baseline"/>
          <w:lang w:eastAsia="zh-CN"/>
        </w:rPr>
        <w:t>福建惠安县长兴工贸有限公司洪文海未与承租单位签订安全生产管理协议案</w:t>
      </w:r>
      <w:bookmarkStart w:id="0" w:name="_GoBack"/>
      <w:bookmarkEnd w:id="0"/>
      <w:r>
        <w:rPr>
          <w:rFonts w:hint="eastAsia" w:ascii="宋体" w:hAnsi="宋体" w:eastAsia="宋体" w:cs="宋体"/>
          <w:sz w:val="24"/>
          <w:szCs w:val="24"/>
          <w:vertAlign w:val="baseline"/>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I3YWY0M2FiN2Q1ODI1YzRiMWNjOGUzYTM0OTUzNDEifQ=="/>
  </w:docVars>
  <w:rsids>
    <w:rsidRoot w:val="002B0D7E"/>
    <w:rsid w:val="000258DF"/>
    <w:rsid w:val="000779D8"/>
    <w:rsid w:val="000A54CE"/>
    <w:rsid w:val="00156B9B"/>
    <w:rsid w:val="0016076C"/>
    <w:rsid w:val="00176B93"/>
    <w:rsid w:val="0018480B"/>
    <w:rsid w:val="001C4BE9"/>
    <w:rsid w:val="00243E1F"/>
    <w:rsid w:val="002B0D7E"/>
    <w:rsid w:val="00313BDB"/>
    <w:rsid w:val="00334190"/>
    <w:rsid w:val="0034178D"/>
    <w:rsid w:val="003843FB"/>
    <w:rsid w:val="003C5414"/>
    <w:rsid w:val="004B0DB2"/>
    <w:rsid w:val="004E1464"/>
    <w:rsid w:val="004F1319"/>
    <w:rsid w:val="00514CDF"/>
    <w:rsid w:val="00523F77"/>
    <w:rsid w:val="00552099"/>
    <w:rsid w:val="00565098"/>
    <w:rsid w:val="00663470"/>
    <w:rsid w:val="00710FA4"/>
    <w:rsid w:val="0071669D"/>
    <w:rsid w:val="00792156"/>
    <w:rsid w:val="007D2AF1"/>
    <w:rsid w:val="00802958"/>
    <w:rsid w:val="008872DF"/>
    <w:rsid w:val="008A0194"/>
    <w:rsid w:val="008E21A4"/>
    <w:rsid w:val="008F6918"/>
    <w:rsid w:val="0094475B"/>
    <w:rsid w:val="009616F8"/>
    <w:rsid w:val="009838AA"/>
    <w:rsid w:val="00985E3C"/>
    <w:rsid w:val="00995090"/>
    <w:rsid w:val="00A635D1"/>
    <w:rsid w:val="00AA14F3"/>
    <w:rsid w:val="00AE2FED"/>
    <w:rsid w:val="00B067DC"/>
    <w:rsid w:val="00B6273E"/>
    <w:rsid w:val="00C32B8C"/>
    <w:rsid w:val="00CF3292"/>
    <w:rsid w:val="00D8276A"/>
    <w:rsid w:val="00D96DC6"/>
    <w:rsid w:val="00DE1C36"/>
    <w:rsid w:val="00E37D22"/>
    <w:rsid w:val="00F6166D"/>
    <w:rsid w:val="00FD7AC3"/>
    <w:rsid w:val="63311F70"/>
    <w:rsid w:val="709A3F00"/>
    <w:rsid w:val="76B37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548</Words>
  <Characters>573</Characters>
  <Lines>4</Lines>
  <Paragraphs>1</Paragraphs>
  <TotalTime>0</TotalTime>
  <ScaleCrop>false</ScaleCrop>
  <LinksUpToDate>false</LinksUpToDate>
  <CharactersWithSpaces>611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2021-08-30T01:35:00Z</dcterms:created>
  <dc:creator>Administrator</dc:creator>
  <cp:lastModifiedBy>雒河</cp:lastModifiedBy>
  <cp:lastPrinted>2023-01-09T03:21:00Z</cp:lastPrinted>
  <dcterms:modified xsi:type="dcterms:W3CDTF">2023-01-16T06:49:41Z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C0D4496D75734B08B8BEBB22673C95D3</vt:lpwstr>
  </property>
</Properties>
</file>