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CD" w:rsidRDefault="00482DE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全面实施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预算绩效管理开展情况说明</w:t>
      </w:r>
    </w:p>
    <w:p w:rsidR="004858CD" w:rsidRDefault="00482DE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一是批复下达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年绩效目标管理项目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491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个，在覆盖“四本账”预算基础上，延伸至一般债券、</w:t>
      </w:r>
      <w:r>
        <w:rPr>
          <w:rFonts w:ascii="仿宋_GB2312" w:eastAsia="仿宋_GB2312" w:hAnsi="仿宋_GB2312" w:cs="仿宋_GB2312" w:hint="eastAsia"/>
          <w:sz w:val="32"/>
          <w:szCs w:val="32"/>
        </w:rPr>
        <w:t>PPP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项目，涉及金额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698598.26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万元，涵盖全部支出领域，共计二百多个预算单位，覆盖率达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。二是组织开展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年度项目支出绩效自评，涉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及项目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265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418493.21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万元，覆盖率达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。其中重点民生支出项目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124745.08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万元，主要有教育部门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25211.72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万元；科技部门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2127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万元；文化体育部门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1716.16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万元；社会就业保障部门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63</w:t>
      </w:r>
      <w:r>
        <w:rPr>
          <w:rFonts w:ascii="仿宋_GB2312" w:eastAsia="仿宋_GB2312" w:hAnsi="仿宋_GB2312" w:cs="仿宋_GB2312" w:hint="eastAsia"/>
          <w:sz w:val="32"/>
          <w:szCs w:val="32"/>
        </w:rPr>
        <w:t>778.19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万元；医疗卫生部门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25221.72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万元；节能环保部门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530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万元；农林水部门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9448.18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万元。三是积极开展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年重点评价工作，共选取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个重点评价项目，评价金额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78718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万元。四是部门整体评价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工作扩面增效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。对全县</w:t>
      </w:r>
      <w:r>
        <w:rPr>
          <w:rFonts w:ascii="仿宋_GB2312" w:eastAsia="仿宋_GB2312" w:hAnsi="仿宋_GB2312" w:cs="仿宋_GB2312" w:hint="eastAsia"/>
          <w:sz w:val="32"/>
          <w:szCs w:val="32"/>
        </w:rPr>
        <w:t>79</w:t>
      </w:r>
      <w:r>
        <w:rPr>
          <w:rFonts w:ascii="仿宋_GB2312" w:eastAsia="仿宋_GB2312" w:hAnsi="仿宋_GB2312" w:cs="仿宋_GB2312" w:hint="eastAsia"/>
          <w:sz w:val="32"/>
          <w:szCs w:val="32"/>
        </w:rPr>
        <w:t>个部门单位开展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年度部门绩效目标管理，并对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年度开展部门自评，为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年度全面实现惠安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县预算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绩效管理方案规定目标奠定坚实基础。</w:t>
      </w:r>
    </w:p>
    <w:p w:rsidR="004858CD" w:rsidRDefault="004858CD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485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CD"/>
    <w:rsid w:val="00482DE8"/>
    <w:rsid w:val="004858CD"/>
    <w:rsid w:val="055E786A"/>
    <w:rsid w:val="3B052861"/>
    <w:rsid w:val="3E0743CB"/>
    <w:rsid w:val="535C4054"/>
    <w:rsid w:val="761F3E18"/>
    <w:rsid w:val="764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DDC5A6-C398-48E2-A43B-B96AB858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2023-11-02T04:11:00Z</cp:lastPrinted>
  <dcterms:created xsi:type="dcterms:W3CDTF">2023-11-02T07:58:00Z</dcterms:created>
  <dcterms:modified xsi:type="dcterms:W3CDTF">2023-11-02T07:58:00Z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