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4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202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年全面实施预算绩效管理开展情况说明</w:t>
      </w:r>
    </w:p>
    <w:p>
      <w:pPr>
        <w:spacing w:line="640" w:lineRule="exact"/>
        <w:ind w:firstLine="640" w:firstLineChars="200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一是强化绩效目标管理。202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_GB2312"/>
          <w:sz w:val="32"/>
          <w:szCs w:val="32"/>
        </w:rPr>
        <w:t>年度，将一般项目支出、政府性基金、国有资本经营预算项目、社会保险基金预算项目全部纳入预算绩效管理，涉及金额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688285.26</w:t>
      </w:r>
      <w:r>
        <w:rPr>
          <w:rFonts w:hint="eastAsia" w:ascii="仿宋" w:hAnsi="仿宋" w:eastAsia="仿宋" w:cs="仿宋_GB2312"/>
          <w:sz w:val="32"/>
          <w:szCs w:val="32"/>
        </w:rPr>
        <w:t>万元，涵盖全部支出领域，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73个部门、</w:t>
      </w:r>
      <w:r>
        <w:rPr>
          <w:rFonts w:hint="eastAsia" w:ascii="仿宋" w:hAnsi="仿宋" w:eastAsia="仿宋" w:cs="仿宋_GB2312"/>
          <w:sz w:val="32"/>
          <w:szCs w:val="32"/>
        </w:rPr>
        <w:t>200多个预算单位，覆盖率达100%。二是强化绩效评价管理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_GB2312"/>
          <w:sz w:val="32"/>
          <w:szCs w:val="32"/>
        </w:rPr>
        <w:t>组织对202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_GB2312"/>
          <w:sz w:val="32"/>
          <w:szCs w:val="32"/>
        </w:rPr>
        <w:t>年72个部门开展部门整体支出评价，对1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786</w:t>
      </w:r>
      <w:r>
        <w:rPr>
          <w:rFonts w:hint="eastAsia" w:ascii="仿宋" w:hAnsi="仿宋" w:eastAsia="仿宋" w:cs="仿宋_GB2312"/>
          <w:sz w:val="32"/>
          <w:szCs w:val="32"/>
        </w:rPr>
        <w:t>个项目开展绩效自评，项目金额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656904.99</w:t>
      </w:r>
      <w:r>
        <w:rPr>
          <w:rFonts w:hint="eastAsia" w:ascii="仿宋" w:hAnsi="仿宋" w:eastAsia="仿宋" w:cs="仿宋_GB2312"/>
          <w:sz w:val="32"/>
          <w:szCs w:val="32"/>
        </w:rPr>
        <w:t>万元。三是积极开展</w:t>
      </w:r>
      <w:bookmarkStart w:id="0" w:name="_GoBack"/>
      <w:bookmarkEnd w:id="0"/>
      <w:r>
        <w:rPr>
          <w:rFonts w:hint="eastAsia" w:ascii="仿宋" w:hAnsi="仿宋" w:eastAsia="仿宋" w:cs="仿宋_GB2312"/>
          <w:sz w:val="32"/>
          <w:szCs w:val="32"/>
        </w:rPr>
        <w:t>财政重点绩效评价工作。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选取节能减排补助资金（县域充换电设施补短板试点县）等1个新增项目开展事前绩效财政再评估；选取2024年石化园区周边民生保障项目等14个等资金规模较大、社会关注度较高、覆盖和影响面较广的项目开展重点项目财政再评价；</w:t>
      </w:r>
      <w:r>
        <w:rPr>
          <w:rFonts w:hint="eastAsia" w:ascii="仿宋" w:hAnsi="仿宋" w:eastAsia="仿宋" w:cs="仿宋_GB2312"/>
          <w:sz w:val="32"/>
          <w:szCs w:val="32"/>
        </w:rPr>
        <w:t>选取县自然资源局、县妇女联合会进行整体支出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财政再</w:t>
      </w:r>
      <w:r>
        <w:rPr>
          <w:rFonts w:hint="eastAsia" w:ascii="仿宋" w:hAnsi="仿宋" w:eastAsia="仿宋" w:cs="仿宋_GB2312"/>
          <w:sz w:val="32"/>
          <w:szCs w:val="32"/>
        </w:rPr>
        <w:t>评价，促进部门从整体上提升预算绩效管理工作水平，规范资金管理行为，保障部门更好地履行职责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0E3"/>
    <w:rsid w:val="004A70E3"/>
    <w:rsid w:val="004B5369"/>
    <w:rsid w:val="00626BF3"/>
    <w:rsid w:val="007A49A0"/>
    <w:rsid w:val="009F3ABB"/>
    <w:rsid w:val="3E4F587A"/>
    <w:rsid w:val="427A4ABC"/>
    <w:rsid w:val="448A6F89"/>
    <w:rsid w:val="67966045"/>
    <w:rsid w:val="70AC227F"/>
    <w:rsid w:val="7D616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1.正文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48</Words>
  <Characters>275</Characters>
  <Lines>2</Lines>
  <Paragraphs>1</Paragraphs>
  <TotalTime>4</TotalTime>
  <ScaleCrop>false</ScaleCrop>
  <LinksUpToDate>false</LinksUpToDate>
  <CharactersWithSpaces>322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2025-07-24T03:04:00Z</dcterms:created>
  <dc:creator>Administrator</dc:creator>
  <cp:lastModifiedBy>Administrator</cp:lastModifiedBy>
  <cp:lastPrinted>2026-07-15T08:57:48Z</cp:lastPrinted>
  <dcterms:modified xsi:type="dcterms:W3CDTF">2026-07-15T09:00:29Z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