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N/>
        <w:bidi w:val="0"/>
        <w:adjustRightInd/>
        <w:snapToGrid/>
        <w:spacing w:line="540" w:lineRule="exact"/>
        <w:ind w:right="147"/>
        <w:jc w:val="left"/>
        <w:textAlignment w:val="auto"/>
        <w:rPr>
          <w:rFonts w:hint="eastAsia" w:ascii="仿宋_GB2312" w:hAnsi="仿宋"/>
          <w:sz w:val="30"/>
          <w:szCs w:val="30"/>
          <w:lang w:eastAsia="zh-CN"/>
        </w:rPr>
      </w:pPr>
    </w:p>
    <w:p>
      <w:pPr>
        <w:keepNext w:val="0"/>
        <w:keepLines w:val="0"/>
        <w:pageBreakBefore w:val="0"/>
        <w:widowControl w:val="0"/>
        <w:kinsoku/>
        <w:wordWrap w:val="0"/>
        <w:overflowPunct/>
        <w:topLinePunct w:val="0"/>
        <w:autoSpaceDN/>
        <w:bidi w:val="0"/>
        <w:adjustRightInd/>
        <w:snapToGrid/>
        <w:spacing w:line="540" w:lineRule="exact"/>
        <w:jc w:val="right"/>
        <w:textAlignment w:val="auto"/>
        <w:rPr>
          <w:rFonts w:hint="eastAsia" w:ascii="仿宋_GB2312" w:hAnsi="仿宋"/>
        </w:rPr>
      </w:pPr>
      <w:r>
        <w:rPr>
          <w:rFonts w:hint="eastAsia" w:ascii="仿宋_GB2312" w:hAnsi="仿宋"/>
          <w:lang w:eastAsia="zh-CN"/>
        </w:rPr>
        <w:t>泉惠环评</w:t>
      </w:r>
      <w:r>
        <w:rPr>
          <w:rFonts w:hint="eastAsia" w:ascii="仿宋_GB2312" w:hAnsi="仿宋"/>
        </w:rPr>
        <w:t>〔20</w:t>
      </w:r>
      <w:r>
        <w:rPr>
          <w:rFonts w:hint="eastAsia" w:ascii="仿宋_GB2312" w:hAnsi="仿宋"/>
          <w:lang w:eastAsia="zh-CN"/>
        </w:rPr>
        <w:t>2</w:t>
      </w:r>
      <w:r>
        <w:rPr>
          <w:rFonts w:hint="eastAsia" w:ascii="仿宋_GB2312" w:hAnsi="仿宋"/>
          <w:lang w:val="en-US" w:eastAsia="zh-CN"/>
        </w:rPr>
        <w:t>4</w:t>
      </w:r>
      <w:r>
        <w:rPr>
          <w:rFonts w:hint="eastAsia" w:ascii="仿宋_GB2312" w:hAnsi="仿宋"/>
        </w:rPr>
        <w:t>〕表</w:t>
      </w:r>
      <w:r>
        <w:rPr>
          <w:rFonts w:hint="eastAsia" w:ascii="仿宋_GB2312" w:hAnsi="仿宋"/>
          <w:lang w:val="en-US" w:eastAsia="zh-CN"/>
        </w:rPr>
        <w:t>45</w:t>
      </w:r>
      <w:r>
        <w:rPr>
          <w:rFonts w:hint="eastAsia" w:ascii="仿宋_GB2312" w:hAnsi="仿宋"/>
        </w:rPr>
        <w:t>号</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sz w:val="30"/>
          <w:szCs w:val="30"/>
          <w:lang w:eastAsia="zh-CN"/>
        </w:rPr>
      </w:pPr>
    </w:p>
    <w:p>
      <w:pPr>
        <w:keepNext w:val="0"/>
        <w:keepLines w:val="0"/>
        <w:pageBreakBefore w:val="0"/>
        <w:widowControl w:val="0"/>
        <w:kinsoku/>
        <w:overflowPunct/>
        <w:topLinePunct w:val="0"/>
        <w:autoSpaceDN/>
        <w:bidi w:val="0"/>
        <w:adjustRightInd/>
        <w:snapToGrid/>
        <w:spacing w:line="540" w:lineRule="exact"/>
        <w:jc w:val="center"/>
        <w:textAlignment w:val="auto"/>
        <w:rPr>
          <w:rFonts w:hint="eastAsia" w:ascii="方正小标宋简体" w:hAnsi="华文中宋" w:eastAsia="方正小标宋简体" w:cs="华文中宋"/>
          <w:bCs/>
          <w:sz w:val="44"/>
          <w:szCs w:val="44"/>
          <w:lang w:val="en-US" w:eastAsia="zh-CN"/>
        </w:rPr>
      </w:pPr>
      <w:r>
        <w:rPr>
          <w:rFonts w:hint="eastAsia" w:ascii="方正小标宋简体" w:hAnsi="华文中宋" w:eastAsia="方正小标宋简体" w:cs="华文中宋"/>
          <w:bCs/>
          <w:sz w:val="44"/>
          <w:szCs w:val="44"/>
        </w:rPr>
        <w:t>泉州市生态环境局关于</w:t>
      </w:r>
      <w:r>
        <w:rPr>
          <w:rFonts w:hint="eastAsia" w:ascii="方正小标宋简体" w:hAnsi="华文中宋" w:eastAsia="方正小标宋简体" w:cs="华文中宋"/>
          <w:bCs/>
          <w:sz w:val="44"/>
          <w:szCs w:val="44"/>
          <w:lang w:eastAsia="zh-CN"/>
        </w:rPr>
        <w:t>泉州晟炜工艺品有限责任公司年加工</w:t>
      </w:r>
      <w:r>
        <w:rPr>
          <w:rFonts w:hint="eastAsia" w:ascii="方正小标宋简体" w:hAnsi="华文中宋" w:eastAsia="方正小标宋简体" w:cs="华文中宋"/>
          <w:bCs/>
          <w:sz w:val="44"/>
          <w:szCs w:val="44"/>
          <w:lang w:val="en-US" w:eastAsia="zh-CN"/>
        </w:rPr>
        <w:t>180万件铁艺品、15万</w:t>
      </w:r>
    </w:p>
    <w:p>
      <w:pPr>
        <w:keepNext w:val="0"/>
        <w:keepLines w:val="0"/>
        <w:pageBreakBefore w:val="0"/>
        <w:widowControl w:val="0"/>
        <w:kinsoku/>
        <w:overflowPunct/>
        <w:topLinePunct w:val="0"/>
        <w:autoSpaceDN/>
        <w:bidi w:val="0"/>
        <w:adjustRightInd/>
        <w:snapToGrid/>
        <w:spacing w:line="540" w:lineRule="exact"/>
        <w:jc w:val="center"/>
        <w:textAlignment w:val="auto"/>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lang w:val="en-US" w:eastAsia="zh-CN"/>
        </w:rPr>
        <w:t>件木艺品</w:t>
      </w:r>
      <w:r>
        <w:rPr>
          <w:rFonts w:hint="eastAsia" w:ascii="方正小标宋简体" w:hAnsi="华文中宋" w:eastAsia="方正小标宋简体" w:cs="华文中宋"/>
          <w:bCs/>
          <w:sz w:val="44"/>
          <w:szCs w:val="44"/>
          <w:lang w:eastAsia="zh-CN"/>
        </w:rPr>
        <w:t>项目</w:t>
      </w:r>
      <w:r>
        <w:rPr>
          <w:rFonts w:hint="eastAsia" w:ascii="方正小标宋简体" w:hAnsi="华文中宋" w:eastAsia="方正小标宋简体" w:cs="华文中宋"/>
          <w:bCs/>
          <w:sz w:val="44"/>
          <w:szCs w:val="44"/>
        </w:rPr>
        <w:t>环境影响报告表的批复</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cs="仿宋_GB2312"/>
          <w:kern w:val="2"/>
          <w:sz w:val="32"/>
          <w:szCs w:val="32"/>
          <w:shd w:val="clear" w:color="auto" w:fill="FFFFFF"/>
          <w:lang w:val="en-US" w:eastAsia="zh-CN" w:bidi="ar-SA"/>
        </w:rPr>
        <w:t>泉州晟炜工艺品</w:t>
      </w:r>
      <w:r>
        <w:rPr>
          <w:rFonts w:hint="eastAsia" w:ascii="仿宋_GB2312" w:hAnsi="仿宋_GB2312" w:eastAsia="仿宋_GB2312" w:cs="仿宋_GB2312"/>
          <w:kern w:val="2"/>
          <w:sz w:val="32"/>
          <w:szCs w:val="32"/>
          <w:shd w:val="clear" w:color="auto" w:fill="FFFFFF"/>
          <w:lang w:val="en-US" w:eastAsia="zh-CN" w:bidi="ar-SA"/>
        </w:rPr>
        <w:t>有限</w:t>
      </w:r>
      <w:r>
        <w:rPr>
          <w:rFonts w:hint="eastAsia" w:ascii="仿宋_GB2312" w:hAnsi="仿宋_GB2312" w:cs="仿宋_GB2312"/>
          <w:kern w:val="2"/>
          <w:sz w:val="32"/>
          <w:szCs w:val="32"/>
          <w:shd w:val="clear" w:color="auto" w:fill="FFFFFF"/>
          <w:lang w:val="en-US" w:eastAsia="zh-CN" w:bidi="ar-SA"/>
        </w:rPr>
        <w:t>责任</w:t>
      </w:r>
      <w:r>
        <w:rPr>
          <w:rFonts w:hint="eastAsia" w:ascii="仿宋_GB2312" w:hAnsi="仿宋_GB2312" w:eastAsia="仿宋_GB2312" w:cs="仿宋_GB2312"/>
          <w:kern w:val="2"/>
          <w:sz w:val="32"/>
          <w:szCs w:val="32"/>
          <w:shd w:val="clear" w:color="auto" w:fill="FFFFFF"/>
          <w:lang w:val="en-US" w:eastAsia="zh-CN" w:bidi="ar-SA"/>
        </w:rPr>
        <w:t>公司：</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你公司报送的由</w:t>
      </w:r>
      <w:r>
        <w:rPr>
          <w:rFonts w:hint="eastAsia" w:ascii="仿宋_GB2312" w:hAnsi="仿宋" w:cs="仿宋"/>
          <w:color w:val="auto"/>
          <w:sz w:val="32"/>
          <w:szCs w:val="32"/>
          <w:shd w:val="clear" w:color="auto" w:fill="FFFFFF"/>
          <w:lang w:eastAsia="zh-CN"/>
        </w:rPr>
        <w:t>福建省裕丰环保科技有限公司</w:t>
      </w:r>
      <w:r>
        <w:rPr>
          <w:rFonts w:hint="eastAsia" w:ascii="仿宋_GB2312" w:hAnsi="仿宋_GB2312" w:eastAsia="仿宋_GB2312" w:cs="仿宋_GB2312"/>
          <w:kern w:val="2"/>
          <w:sz w:val="32"/>
          <w:szCs w:val="32"/>
          <w:shd w:val="clear" w:color="auto" w:fill="FFFFFF"/>
          <w:lang w:val="en-US" w:eastAsia="zh-CN" w:bidi="ar-SA"/>
        </w:rPr>
        <w:t>编制的《</w:t>
      </w:r>
      <w:r>
        <w:rPr>
          <w:rFonts w:hint="eastAsia" w:ascii="仿宋_GB2312" w:hAnsi="仿宋_GB2312" w:cs="仿宋_GB2312"/>
          <w:kern w:val="2"/>
          <w:sz w:val="32"/>
          <w:szCs w:val="32"/>
          <w:shd w:val="clear" w:color="auto" w:fill="FFFFFF"/>
          <w:lang w:val="en-US" w:eastAsia="zh-CN" w:bidi="ar-SA"/>
        </w:rPr>
        <w:t>泉州晟炜工艺品</w:t>
      </w:r>
      <w:r>
        <w:rPr>
          <w:rFonts w:hint="eastAsia" w:ascii="仿宋_GB2312" w:hAnsi="仿宋_GB2312" w:eastAsia="仿宋_GB2312" w:cs="仿宋_GB2312"/>
          <w:kern w:val="2"/>
          <w:sz w:val="32"/>
          <w:szCs w:val="32"/>
          <w:shd w:val="clear" w:color="auto" w:fill="FFFFFF"/>
          <w:lang w:val="en-US" w:eastAsia="zh-CN" w:bidi="ar-SA"/>
        </w:rPr>
        <w:t>有限</w:t>
      </w:r>
      <w:r>
        <w:rPr>
          <w:rFonts w:hint="eastAsia" w:ascii="仿宋_GB2312" w:hAnsi="仿宋_GB2312" w:cs="仿宋_GB2312"/>
          <w:kern w:val="2"/>
          <w:sz w:val="32"/>
          <w:szCs w:val="32"/>
          <w:shd w:val="clear" w:color="auto" w:fill="FFFFFF"/>
          <w:lang w:val="en-US" w:eastAsia="zh-CN" w:bidi="ar-SA"/>
        </w:rPr>
        <w:t>责任</w:t>
      </w:r>
      <w:r>
        <w:rPr>
          <w:rFonts w:hint="eastAsia" w:ascii="仿宋_GB2312" w:hAnsi="仿宋_GB2312" w:eastAsia="仿宋_GB2312" w:cs="仿宋_GB2312"/>
          <w:kern w:val="2"/>
          <w:sz w:val="32"/>
          <w:szCs w:val="32"/>
          <w:shd w:val="clear" w:color="auto" w:fill="FFFFFF"/>
          <w:lang w:val="en-US" w:eastAsia="zh-CN" w:bidi="ar-SA"/>
        </w:rPr>
        <w:t>公司</w:t>
      </w:r>
      <w:r>
        <w:rPr>
          <w:rFonts w:hint="eastAsia" w:ascii="仿宋_GB2312" w:hAnsi="仿宋_GB2312" w:cs="仿宋_GB2312"/>
          <w:kern w:val="2"/>
          <w:sz w:val="32"/>
          <w:szCs w:val="32"/>
          <w:shd w:val="clear" w:color="auto" w:fill="FFFFFF"/>
          <w:lang w:val="en-US" w:eastAsia="zh-CN" w:bidi="ar-SA"/>
        </w:rPr>
        <w:t>年加工180万件铁艺品、15万件木艺品</w:t>
      </w:r>
      <w:r>
        <w:rPr>
          <w:rFonts w:hint="eastAsia" w:ascii="仿宋_GB2312" w:hAnsi="仿宋_GB2312" w:eastAsia="仿宋_GB2312" w:cs="仿宋_GB2312"/>
          <w:kern w:val="2"/>
          <w:sz w:val="32"/>
          <w:szCs w:val="32"/>
          <w:shd w:val="clear" w:color="auto" w:fill="FFFFFF"/>
          <w:lang w:val="en-US" w:eastAsia="zh-CN" w:bidi="ar-SA"/>
        </w:rPr>
        <w:t>项目环境影响报告表》（以下简称《报告表》）收悉，批复如下：</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w:t>
      </w:r>
      <w:r>
        <w:rPr>
          <w:rFonts w:hint="eastAsia" w:ascii="仿宋_GB2312" w:hAnsi="仿宋" w:cs="仿宋"/>
          <w:color w:val="auto"/>
          <w:sz w:val="32"/>
          <w:szCs w:val="32"/>
          <w:shd w:val="clear" w:color="auto" w:fill="FFFFFF"/>
          <w:lang w:eastAsia="zh-CN"/>
        </w:rPr>
        <w:t>该项目违反建设项目环境影响评价制度及建设项目环保“三同时”制度，已经我局处罚（闽泉环罚〔202</w:t>
      </w:r>
      <w:r>
        <w:rPr>
          <w:rFonts w:hint="eastAsia" w:ascii="仿宋_GB2312" w:hAnsi="仿宋" w:cs="仿宋"/>
          <w:color w:val="auto"/>
          <w:sz w:val="32"/>
          <w:szCs w:val="32"/>
          <w:shd w:val="clear" w:color="auto" w:fill="FFFFFF"/>
          <w:lang w:val="en-US" w:eastAsia="zh-CN"/>
        </w:rPr>
        <w:t>4</w:t>
      </w:r>
      <w:r>
        <w:rPr>
          <w:rFonts w:hint="eastAsia" w:ascii="仿宋_GB2312" w:hAnsi="仿宋" w:cs="仿宋"/>
          <w:color w:val="auto"/>
          <w:sz w:val="32"/>
          <w:szCs w:val="32"/>
          <w:shd w:val="clear" w:color="auto" w:fill="FFFFFF"/>
          <w:lang w:eastAsia="zh-CN"/>
        </w:rPr>
        <w:t>〕</w:t>
      </w:r>
      <w:r>
        <w:rPr>
          <w:rFonts w:hint="eastAsia" w:ascii="仿宋_GB2312" w:hAnsi="仿宋" w:cs="仿宋"/>
          <w:color w:val="auto"/>
          <w:sz w:val="32"/>
          <w:szCs w:val="32"/>
          <w:shd w:val="clear" w:color="auto" w:fill="FFFFFF"/>
          <w:lang w:val="en-US" w:eastAsia="zh-CN"/>
        </w:rPr>
        <w:t>381</w:t>
      </w:r>
      <w:r>
        <w:rPr>
          <w:rFonts w:hint="eastAsia" w:ascii="仿宋_GB2312" w:hAnsi="仿宋" w:cs="仿宋"/>
          <w:color w:val="auto"/>
          <w:sz w:val="32"/>
          <w:szCs w:val="32"/>
          <w:shd w:val="clear" w:color="auto" w:fill="FFFFFF"/>
          <w:lang w:eastAsia="zh-CN"/>
        </w:rPr>
        <w:t>号）。</w:t>
      </w:r>
      <w:r>
        <w:rPr>
          <w:rFonts w:hint="eastAsia" w:ascii="仿宋_GB2312" w:hAnsi="仿宋_GB2312" w:eastAsia="仿宋_GB2312" w:cs="仿宋_GB2312"/>
          <w:kern w:val="2"/>
          <w:sz w:val="32"/>
          <w:szCs w:val="32"/>
          <w:shd w:val="clear" w:color="auto" w:fill="FFFFFF"/>
          <w:lang w:val="en-US" w:eastAsia="zh-CN" w:bidi="ar-SA"/>
        </w:rPr>
        <w:t>项目位于福建省泉州市惠安县绿谷台商高科技产业基地台中路</w:t>
      </w:r>
      <w:r>
        <w:rPr>
          <w:rFonts w:hint="eastAsia" w:ascii="仿宋_GB2312" w:hAnsi="仿宋_GB2312" w:cs="仿宋_GB2312"/>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号，系租用泉州</w:t>
      </w:r>
      <w:r>
        <w:rPr>
          <w:rFonts w:hint="eastAsia" w:ascii="仿宋_GB2312" w:hAnsi="仿宋_GB2312" w:cs="仿宋_GB2312"/>
          <w:kern w:val="2"/>
          <w:sz w:val="32"/>
          <w:szCs w:val="32"/>
          <w:shd w:val="clear" w:color="auto" w:fill="FFFFFF"/>
          <w:lang w:val="en-US" w:eastAsia="zh-CN" w:bidi="ar-SA"/>
        </w:rPr>
        <w:t>星联机械有限公司土地8888.7</w:t>
      </w:r>
      <w:r>
        <w:rPr>
          <w:rFonts w:hint="default" w:ascii="仿宋_GB2312" w:hAnsi="仿宋_GB2312" w:eastAsia="仿宋_GB2312" w:cs="仿宋_GB2312"/>
          <w:kern w:val="2"/>
          <w:sz w:val="32"/>
          <w:szCs w:val="32"/>
          <w:shd w:val="clear" w:color="auto" w:fill="FFFFFF"/>
          <w:lang w:val="en-US" w:eastAsia="zh-CN" w:bidi="ar-SA"/>
        </w:rPr>
        <w:t>m</w:t>
      </w:r>
      <w:r>
        <w:rPr>
          <w:rFonts w:hint="default" w:ascii="仿宋_GB2312" w:hAnsi="仿宋_GB2312" w:eastAsia="仿宋_GB2312" w:cs="仿宋_GB2312"/>
          <w:kern w:val="2"/>
          <w:sz w:val="32"/>
          <w:szCs w:val="32"/>
          <w:shd w:val="clear" w:color="auto" w:fill="FFFFFF"/>
          <w:vertAlign w:val="superscript"/>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自建厂房。</w:t>
      </w:r>
      <w:r>
        <w:rPr>
          <w:rFonts w:hint="eastAsia" w:ascii="仿宋_GB2312" w:hAnsi="仿宋_GB2312" w:eastAsia="仿宋_GB2312" w:cs="仿宋_GB2312"/>
          <w:kern w:val="2"/>
          <w:sz w:val="32"/>
          <w:szCs w:val="32"/>
          <w:shd w:val="clear" w:color="auto" w:fill="FFFFFF"/>
          <w:lang w:val="en-US" w:eastAsia="zh-CN" w:bidi="ar-SA"/>
        </w:rPr>
        <w:t>项目预计年</w:t>
      </w:r>
      <w:r>
        <w:rPr>
          <w:rFonts w:hint="eastAsia" w:ascii="仿宋_GB2312" w:hAnsi="仿宋_GB2312" w:cs="仿宋_GB2312"/>
          <w:kern w:val="2"/>
          <w:sz w:val="32"/>
          <w:szCs w:val="32"/>
          <w:shd w:val="clear" w:color="auto" w:fill="FFFFFF"/>
          <w:lang w:val="en-US" w:eastAsia="zh-CN" w:bidi="ar-SA"/>
        </w:rPr>
        <w:t>加工180万件铁艺品、15万件木艺品</w:t>
      </w:r>
      <w:r>
        <w:rPr>
          <w:rFonts w:hint="eastAsia" w:ascii="仿宋_GB2312" w:hAnsi="仿宋_GB2312" w:eastAsia="仿宋_GB2312" w:cs="仿宋_GB2312"/>
          <w:kern w:val="2"/>
          <w:sz w:val="32"/>
          <w:szCs w:val="32"/>
          <w:shd w:val="clear" w:color="auto" w:fill="FFFFFF"/>
          <w:lang w:val="en-US" w:eastAsia="zh-CN" w:bidi="ar-SA"/>
        </w:rPr>
        <w:t>，总投资</w:t>
      </w:r>
      <w:r>
        <w:rPr>
          <w:rFonts w:hint="eastAsia" w:ascii="仿宋_GB2312" w:hAnsi="仿宋_GB2312" w:cs="仿宋_GB2312"/>
          <w:kern w:val="2"/>
          <w:sz w:val="32"/>
          <w:szCs w:val="32"/>
          <w:shd w:val="clear" w:color="auto" w:fill="FFFFFF"/>
          <w:lang w:val="en-US" w:eastAsia="zh-CN" w:bidi="ar-SA"/>
        </w:rPr>
        <w:t>6</w:t>
      </w:r>
      <w:r>
        <w:rPr>
          <w:rFonts w:hint="eastAsia" w:ascii="仿宋_GB2312" w:hAnsi="仿宋_GB2312" w:eastAsia="仿宋_GB2312" w:cs="仿宋_GB2312"/>
          <w:kern w:val="2"/>
          <w:sz w:val="32"/>
          <w:szCs w:val="32"/>
          <w:shd w:val="clear" w:color="auto" w:fill="FFFFFF"/>
          <w:lang w:val="en-US" w:eastAsia="zh-CN" w:bidi="ar-SA"/>
        </w:rPr>
        <w:t>00万元。项目建设内容、产品方案、生产工艺、设备等以《报告表》核定为准。</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根据《报告表》评价结论，项目建设和生产在全面落实《报告表》提出的各项环境保护对策措施后，污染物可达标排放，环境风险可防可控。我局同意你单位按照《报告表》中所列的项目性质、规模、地点、生产工艺和环保措施进行建设。</w:t>
      </w:r>
    </w:p>
    <w:p>
      <w:pPr>
        <w:pStyle w:val="4"/>
        <w:keepNext w:val="0"/>
        <w:keepLines w:val="0"/>
        <w:pageBreakBefore w:val="0"/>
        <w:widowControl w:val="0"/>
        <w:numPr>
          <w:ilvl w:val="0"/>
          <w:numId w:val="1"/>
        </w:numPr>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项目实施过程中，你公司应认真对照并落实《报告表》提出的各项环保对策措施，并重点做好以下工作：</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1.本项目无生产废水外排，近期生活污水经化粪池处理达标后，通过市政污水管网排入城东污水处理厂集中处理，远期通过市政污水管网汇入惠西污水处理厂统一处理，外排废水应执行《污水综合排放标准》（</w:t>
      </w:r>
      <w:r>
        <w:rPr>
          <w:rFonts w:hint="default" w:ascii="仿宋_GB2312" w:hAnsi="仿宋" w:cs="仿宋"/>
          <w:color w:val="auto"/>
          <w:sz w:val="32"/>
          <w:szCs w:val="32"/>
          <w:shd w:val="clear" w:color="auto" w:fill="FFFFFF"/>
          <w:lang w:val="en-US" w:eastAsia="zh-CN"/>
        </w:rPr>
        <w:t>GB8978-1996</w:t>
      </w:r>
      <w:r>
        <w:rPr>
          <w:rFonts w:hint="eastAsia" w:ascii="仿宋_GB2312" w:hAnsi="仿宋" w:cs="仿宋"/>
          <w:color w:val="auto"/>
          <w:sz w:val="32"/>
          <w:szCs w:val="32"/>
          <w:shd w:val="clear" w:color="auto" w:fill="FFFFFF"/>
          <w:lang w:val="en-US" w:eastAsia="zh-CN"/>
        </w:rPr>
        <w:t>）表</w:t>
      </w:r>
      <w:r>
        <w:rPr>
          <w:rFonts w:hint="default" w:ascii="仿宋_GB2312" w:hAnsi="仿宋" w:cs="仿宋"/>
          <w:color w:val="auto"/>
          <w:sz w:val="32"/>
          <w:szCs w:val="32"/>
          <w:shd w:val="clear" w:color="auto" w:fill="FFFFFF"/>
          <w:lang w:val="en-US" w:eastAsia="zh-CN"/>
        </w:rPr>
        <w:t>4</w:t>
      </w:r>
      <w:r>
        <w:rPr>
          <w:rFonts w:hint="eastAsia" w:ascii="仿宋_GB2312" w:hAnsi="仿宋" w:cs="仿宋"/>
          <w:color w:val="auto"/>
          <w:sz w:val="32"/>
          <w:szCs w:val="32"/>
          <w:shd w:val="clear" w:color="auto" w:fill="FFFFFF"/>
          <w:lang w:val="en-US" w:eastAsia="zh-CN"/>
        </w:rPr>
        <w:t>三级标准（其中氨氮参照执行</w:t>
      </w:r>
      <w:r>
        <w:rPr>
          <w:rFonts w:hint="default" w:ascii="仿宋_GB2312" w:hAnsi="仿宋" w:cs="仿宋"/>
          <w:color w:val="auto"/>
          <w:sz w:val="32"/>
          <w:szCs w:val="32"/>
          <w:shd w:val="clear" w:color="auto" w:fill="FFFFFF"/>
          <w:lang w:val="en-US" w:eastAsia="zh-CN"/>
        </w:rPr>
        <w:t>《污水排入城镇下水道水质标准》(GB/T31962-2015)表1</w:t>
      </w:r>
      <w:r>
        <w:rPr>
          <w:rFonts w:hint="eastAsia" w:ascii="仿宋_GB2312" w:hAnsi="仿宋" w:cs="仿宋"/>
          <w:color w:val="auto"/>
          <w:sz w:val="32"/>
          <w:szCs w:val="32"/>
          <w:shd w:val="clear" w:color="auto" w:fill="FFFFFF"/>
          <w:lang w:val="en-US" w:eastAsia="zh-CN"/>
        </w:rPr>
        <w:t>中B</w:t>
      </w:r>
      <w:r>
        <w:rPr>
          <w:rFonts w:hint="default" w:ascii="仿宋_GB2312" w:hAnsi="仿宋" w:cs="仿宋"/>
          <w:color w:val="auto"/>
          <w:sz w:val="32"/>
          <w:szCs w:val="32"/>
          <w:shd w:val="clear" w:color="auto" w:fill="FFFFFF"/>
          <w:lang w:val="en-US" w:eastAsia="zh-CN"/>
        </w:rPr>
        <w:t>级标准</w:t>
      </w:r>
      <w:r>
        <w:rPr>
          <w:rFonts w:hint="eastAsia" w:ascii="仿宋_GB2312" w:hAnsi="仿宋" w:cs="仿宋"/>
          <w:color w:val="auto"/>
          <w:sz w:val="32"/>
          <w:szCs w:val="32"/>
          <w:shd w:val="clear" w:color="auto" w:fill="FFFFFF"/>
          <w:lang w:val="en-US" w:eastAsia="zh-CN"/>
        </w:rPr>
        <w:t>）。</w:t>
      </w:r>
    </w:p>
    <w:p>
      <w:pPr>
        <w:pStyle w:val="4"/>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0" w:leftChars="0" w:firstLine="640" w:firstLineChars="200"/>
        <w:jc w:val="both"/>
        <w:textAlignment w:val="auto"/>
        <w:rPr>
          <w:rFonts w:hint="default" w:ascii="仿宋_GB2312" w:hAnsi="仿宋" w:eastAsia="仿宋_GB2312"/>
          <w:kern w:val="2"/>
          <w:sz w:val="32"/>
          <w:szCs w:val="32"/>
          <w:lang w:val="en-US" w:eastAsia="zh-CN" w:bidi="ar-SA"/>
        </w:rPr>
      </w:pPr>
      <w:r>
        <w:rPr>
          <w:rFonts w:hint="eastAsia" w:ascii="仿宋_GB2312" w:hAnsi="仿宋" w:cs="仿宋"/>
          <w:color w:val="auto"/>
          <w:sz w:val="32"/>
          <w:szCs w:val="32"/>
          <w:shd w:val="clear" w:color="auto" w:fill="FFFFFF"/>
          <w:lang w:eastAsia="zh-CN"/>
        </w:rPr>
        <w:t>2.项目应配套废气处理设施。</w:t>
      </w:r>
      <w:r>
        <w:rPr>
          <w:rFonts w:hint="eastAsia" w:ascii="Times New Roman" w:hAnsi="Times New Roman" w:cs="仿宋"/>
          <w:kern w:val="2"/>
          <w:sz w:val="32"/>
          <w:szCs w:val="32"/>
          <w:lang w:val="en-US" w:eastAsia="zh-CN" w:bidi="ar-SA"/>
        </w:rPr>
        <w:t>喷塑、固化工序产生的废气</w:t>
      </w:r>
      <w:r>
        <w:rPr>
          <w:rFonts w:hint="eastAsia" w:ascii="Times New Roman" w:hAnsi="Times New Roman" w:eastAsia="仿宋_GB2312" w:cs="仿宋"/>
          <w:kern w:val="2"/>
          <w:sz w:val="32"/>
          <w:szCs w:val="32"/>
          <w:lang w:val="en-US" w:eastAsia="zh-CN" w:bidi="ar-SA"/>
        </w:rPr>
        <w:t>由集气罩收集后经</w:t>
      </w:r>
      <w:r>
        <w:rPr>
          <w:rFonts w:hint="eastAsia" w:ascii="Times New Roman" w:hAnsi="Times New Roman" w:cs="仿宋"/>
          <w:kern w:val="2"/>
          <w:sz w:val="32"/>
          <w:szCs w:val="32"/>
          <w:lang w:val="en-US" w:eastAsia="zh-CN" w:bidi="ar-SA"/>
        </w:rPr>
        <w:t>二级活性炭吸附装置</w:t>
      </w:r>
      <w:r>
        <w:rPr>
          <w:rFonts w:hint="eastAsia" w:ascii="Times New Roman" w:hAnsi="Times New Roman" w:eastAsia="仿宋_GB2312" w:cs="仿宋"/>
          <w:kern w:val="2"/>
          <w:sz w:val="32"/>
          <w:szCs w:val="32"/>
          <w:lang w:val="en-US" w:eastAsia="zh-CN" w:bidi="ar-SA"/>
        </w:rPr>
        <w:t>处理后，</w:t>
      </w:r>
      <w:r>
        <w:rPr>
          <w:rFonts w:hint="eastAsia" w:ascii="仿宋_GB2312" w:hAnsi="仿宋" w:eastAsia="仿宋_GB2312"/>
          <w:kern w:val="2"/>
          <w:sz w:val="32"/>
          <w:szCs w:val="32"/>
          <w:lang w:val="en-US" w:eastAsia="zh-CN" w:bidi="ar-SA"/>
        </w:rPr>
        <w:t>通过一根2</w:t>
      </w:r>
      <w:r>
        <w:rPr>
          <w:rFonts w:hint="eastAsia" w:ascii="仿宋_GB2312" w:hAnsi="仿宋"/>
          <w:kern w:val="2"/>
          <w:sz w:val="32"/>
          <w:szCs w:val="32"/>
          <w:lang w:val="en-US" w:eastAsia="zh-CN" w:bidi="ar-SA"/>
        </w:rPr>
        <w:t>3</w:t>
      </w:r>
      <w:r>
        <w:rPr>
          <w:rFonts w:hint="eastAsia" w:ascii="仿宋_GB2312" w:hAnsi="仿宋" w:eastAsia="仿宋_GB2312"/>
          <w:kern w:val="2"/>
          <w:sz w:val="32"/>
          <w:szCs w:val="32"/>
          <w:lang w:val="en-US" w:eastAsia="zh-CN" w:bidi="ar-SA"/>
        </w:rPr>
        <w:t>m高排气筒DA001排放，其</w:t>
      </w:r>
      <w:r>
        <w:rPr>
          <w:rFonts w:hint="eastAsia" w:ascii="仿宋_GB2312" w:hAnsi="仿宋"/>
          <w:kern w:val="2"/>
          <w:sz w:val="32"/>
          <w:szCs w:val="32"/>
          <w:lang w:val="en-US" w:eastAsia="zh-CN" w:bidi="ar-SA"/>
        </w:rPr>
        <w:t>非甲烷总烃</w:t>
      </w:r>
      <w:r>
        <w:rPr>
          <w:rFonts w:hint="eastAsia" w:ascii="仿宋_GB2312" w:hAnsi="仿宋" w:eastAsia="仿宋_GB2312"/>
          <w:kern w:val="2"/>
          <w:sz w:val="32"/>
          <w:szCs w:val="32"/>
          <w:lang w:val="en-US" w:eastAsia="zh-CN" w:bidi="ar-SA"/>
        </w:rPr>
        <w:t>排放应执行《工业涂装工序挥发性有机物排放标准》(DB35/1783-2018)表1</w:t>
      </w:r>
      <w:r>
        <w:rPr>
          <w:rFonts w:hint="eastAsia" w:ascii="仿宋_GB2312" w:hAnsi="仿宋"/>
          <w:kern w:val="2"/>
          <w:sz w:val="32"/>
          <w:szCs w:val="32"/>
          <w:lang w:val="en-US" w:eastAsia="zh-CN" w:bidi="ar-SA"/>
        </w:rPr>
        <w:t>限值</w:t>
      </w:r>
      <w:r>
        <w:rPr>
          <w:rFonts w:hint="eastAsia" w:ascii="仿宋_GB2312" w:hAnsi="仿宋" w:eastAsia="仿宋_GB2312"/>
          <w:kern w:val="2"/>
          <w:sz w:val="32"/>
          <w:szCs w:val="32"/>
          <w:lang w:val="en-US" w:eastAsia="zh-CN" w:bidi="ar-SA"/>
        </w:rPr>
        <w:t>；</w:t>
      </w:r>
      <w:r>
        <w:rPr>
          <w:rFonts w:hint="eastAsia" w:ascii="仿宋_GB2312" w:hAnsi="仿宋"/>
          <w:kern w:val="2"/>
          <w:sz w:val="32"/>
          <w:szCs w:val="32"/>
          <w:lang w:val="en-US" w:eastAsia="zh-CN" w:bidi="ar-SA"/>
        </w:rPr>
        <w:t>天然气燃料废气排放应执行《锅炉大气污染物排放标准》（GB13271-2014）表2新建燃气锅炉限值。喷漆、刷漆工序产生的废气经水帘柜/集气罩收集后经</w:t>
      </w:r>
      <w:r>
        <w:rPr>
          <w:rFonts w:hint="eastAsia" w:ascii="Times New Roman" w:hAnsi="Times New Roman" w:cs="仿宋"/>
          <w:kern w:val="2"/>
          <w:sz w:val="32"/>
          <w:szCs w:val="32"/>
          <w:lang w:val="en-US" w:eastAsia="zh-CN" w:bidi="ar-SA"/>
        </w:rPr>
        <w:t>二级活性炭吸附装置</w:t>
      </w:r>
      <w:r>
        <w:rPr>
          <w:rFonts w:hint="eastAsia" w:ascii="Times New Roman" w:hAnsi="Times New Roman" w:eastAsia="仿宋_GB2312" w:cs="仿宋"/>
          <w:kern w:val="2"/>
          <w:sz w:val="32"/>
          <w:szCs w:val="32"/>
          <w:lang w:val="en-US" w:eastAsia="zh-CN" w:bidi="ar-SA"/>
        </w:rPr>
        <w:t>处理后</w:t>
      </w:r>
      <w:r>
        <w:rPr>
          <w:rFonts w:hint="eastAsia" w:cs="仿宋"/>
          <w:kern w:val="2"/>
          <w:sz w:val="32"/>
          <w:szCs w:val="32"/>
          <w:lang w:val="en-US" w:eastAsia="zh-CN" w:bidi="ar-SA"/>
        </w:rPr>
        <w:t>，通过</w:t>
      </w:r>
      <w:r>
        <w:rPr>
          <w:rFonts w:hint="eastAsia" w:ascii="仿宋_GB2312" w:hAnsi="仿宋" w:eastAsia="仿宋_GB2312"/>
          <w:kern w:val="2"/>
          <w:sz w:val="32"/>
          <w:szCs w:val="32"/>
          <w:lang w:val="en-US" w:eastAsia="zh-CN" w:bidi="ar-SA"/>
        </w:rPr>
        <w:t>一根2</w:t>
      </w:r>
      <w:r>
        <w:rPr>
          <w:rFonts w:hint="eastAsia" w:ascii="仿宋_GB2312" w:hAnsi="仿宋"/>
          <w:kern w:val="2"/>
          <w:sz w:val="32"/>
          <w:szCs w:val="32"/>
          <w:lang w:val="en-US" w:eastAsia="zh-CN" w:bidi="ar-SA"/>
        </w:rPr>
        <w:t>3</w:t>
      </w:r>
      <w:r>
        <w:rPr>
          <w:rFonts w:hint="eastAsia" w:ascii="仿宋_GB2312" w:hAnsi="仿宋" w:eastAsia="仿宋_GB2312"/>
          <w:kern w:val="2"/>
          <w:sz w:val="32"/>
          <w:szCs w:val="32"/>
          <w:lang w:val="en-US" w:eastAsia="zh-CN" w:bidi="ar-SA"/>
        </w:rPr>
        <w:t>m高排气筒DA00</w:t>
      </w:r>
      <w:r>
        <w:rPr>
          <w:rFonts w:hint="eastAsia" w:ascii="仿宋_GB2312" w:hAnsi="仿宋"/>
          <w:kern w:val="2"/>
          <w:sz w:val="32"/>
          <w:szCs w:val="32"/>
          <w:lang w:val="en-US" w:eastAsia="zh-CN" w:bidi="ar-SA"/>
        </w:rPr>
        <w:t>2</w:t>
      </w:r>
      <w:r>
        <w:rPr>
          <w:rFonts w:hint="eastAsia" w:ascii="仿宋_GB2312" w:hAnsi="仿宋" w:eastAsia="仿宋_GB2312"/>
          <w:kern w:val="2"/>
          <w:sz w:val="32"/>
          <w:szCs w:val="32"/>
          <w:lang w:val="en-US" w:eastAsia="zh-CN" w:bidi="ar-SA"/>
        </w:rPr>
        <w:t>排放</w:t>
      </w:r>
      <w:r>
        <w:rPr>
          <w:rFonts w:hint="eastAsia" w:ascii="仿宋_GB2312" w:hAnsi="仿宋"/>
          <w:kern w:val="2"/>
          <w:sz w:val="32"/>
          <w:szCs w:val="32"/>
          <w:lang w:val="en-US" w:eastAsia="zh-CN" w:bidi="ar-SA"/>
        </w:rPr>
        <w:t>，其有机废气排放应执行</w:t>
      </w:r>
      <w:r>
        <w:rPr>
          <w:rFonts w:hint="eastAsia" w:ascii="仿宋_GB2312" w:hAnsi="仿宋" w:eastAsia="仿宋_GB2312"/>
          <w:kern w:val="2"/>
          <w:sz w:val="32"/>
          <w:szCs w:val="32"/>
          <w:lang w:val="en-US" w:eastAsia="zh-CN" w:bidi="ar-SA"/>
        </w:rPr>
        <w:t>DB35/1783-2018表1</w:t>
      </w:r>
      <w:r>
        <w:rPr>
          <w:rFonts w:hint="eastAsia" w:ascii="仿宋_GB2312" w:hAnsi="仿宋"/>
          <w:kern w:val="2"/>
          <w:sz w:val="32"/>
          <w:szCs w:val="32"/>
          <w:lang w:val="en-US" w:eastAsia="zh-CN" w:bidi="ar-SA"/>
        </w:rPr>
        <w:t>限值；其颗粒物排放应执行</w:t>
      </w:r>
      <w:r>
        <w:rPr>
          <w:rFonts w:hint="eastAsia" w:ascii="仿宋_GB2312" w:hAnsi="仿宋" w:eastAsia="仿宋_GB2312" w:cs="仿宋"/>
          <w:kern w:val="2"/>
          <w:sz w:val="32"/>
          <w:szCs w:val="32"/>
          <w:shd w:val="clear" w:color="auto" w:fill="FFFFFF"/>
          <w:lang w:val="en-US" w:eastAsia="zh-CN" w:bidi="ar"/>
        </w:rPr>
        <w:t>《大气污染物综合排放标准》（GB16297-1996）表2</w:t>
      </w:r>
      <w:r>
        <w:rPr>
          <w:rFonts w:hint="eastAsia" w:ascii="仿宋_GB2312" w:hAnsi="仿宋" w:cs="仿宋"/>
          <w:kern w:val="2"/>
          <w:sz w:val="32"/>
          <w:szCs w:val="32"/>
          <w:shd w:val="clear" w:color="auto" w:fill="FFFFFF"/>
          <w:lang w:val="en-US" w:eastAsia="zh-CN" w:bidi="ar"/>
        </w:rPr>
        <w:t>限值。</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default" w:ascii="仿宋_GB2312" w:hAnsi="仿宋" w:eastAsia="仿宋_GB2312" w:cs="仿宋"/>
          <w:kern w:val="2"/>
          <w:sz w:val="32"/>
          <w:szCs w:val="32"/>
          <w:shd w:val="clear" w:color="auto" w:fill="FFFFFF"/>
          <w:lang w:val="en-US" w:eastAsia="zh-CN" w:bidi="ar"/>
        </w:rPr>
      </w:pPr>
      <w:r>
        <w:rPr>
          <w:rFonts w:hint="eastAsia" w:ascii="仿宋_GB2312" w:hAnsi="仿宋" w:cs="仿宋"/>
          <w:kern w:val="2"/>
          <w:sz w:val="32"/>
          <w:szCs w:val="32"/>
          <w:shd w:val="clear" w:color="auto" w:fill="FFFFFF"/>
          <w:lang w:val="en-US" w:eastAsia="zh-CN" w:bidi="ar"/>
        </w:rPr>
        <w:t>厂界粉尘</w:t>
      </w:r>
      <w:r>
        <w:rPr>
          <w:rFonts w:hint="eastAsia" w:ascii="仿宋_GB2312" w:hAnsi="仿宋" w:eastAsia="仿宋_GB2312" w:cs="仿宋"/>
          <w:kern w:val="2"/>
          <w:sz w:val="32"/>
          <w:szCs w:val="32"/>
          <w:shd w:val="clear" w:color="auto" w:fill="FFFFFF"/>
          <w:lang w:val="en-US" w:eastAsia="zh-CN" w:bidi="ar"/>
        </w:rPr>
        <w:t>以无组织形式排放，其颗粒物排放应执行《大气污染物综合排放标准》（GB16297-1996）表2限值</w:t>
      </w:r>
      <w:r>
        <w:rPr>
          <w:rFonts w:hint="eastAsia" w:ascii="仿宋_GB2312" w:hAnsi="仿宋" w:cs="仿宋"/>
          <w:kern w:val="2"/>
          <w:sz w:val="32"/>
          <w:szCs w:val="32"/>
          <w:shd w:val="clear" w:color="auto" w:fill="FFFFFF"/>
          <w:lang w:val="en-US" w:eastAsia="zh-CN" w:bidi="ar"/>
        </w:rPr>
        <w:t>；厂界非甲烷总烃无组织排放应同时执行《印刷行业挥发性有机物排放标准》</w:t>
      </w:r>
      <w:r>
        <w:rPr>
          <w:rFonts w:hint="eastAsia" w:ascii="仿宋_GB2312" w:hAnsi="仿宋" w:eastAsia="仿宋_GB2312" w:cs="仿宋"/>
          <w:kern w:val="2"/>
          <w:sz w:val="32"/>
          <w:szCs w:val="32"/>
          <w:shd w:val="clear" w:color="auto" w:fill="FFFFFF"/>
          <w:lang w:val="en-US" w:eastAsia="zh-CN" w:bidi="ar"/>
        </w:rPr>
        <w:t>（DB35/1784-2018）</w:t>
      </w:r>
      <w:r>
        <w:rPr>
          <w:rFonts w:hint="eastAsia" w:ascii="仿宋_GB2312" w:hAnsi="仿宋" w:cs="仿宋"/>
          <w:kern w:val="2"/>
          <w:sz w:val="32"/>
          <w:szCs w:val="32"/>
          <w:shd w:val="clear" w:color="auto" w:fill="FFFFFF"/>
          <w:lang w:val="en-US" w:eastAsia="zh-CN" w:bidi="ar"/>
        </w:rPr>
        <w:t>表3限值及</w:t>
      </w:r>
      <w:r>
        <w:rPr>
          <w:rFonts w:hint="eastAsia" w:ascii="仿宋_GB2312" w:hAnsi="仿宋" w:eastAsia="仿宋_GB2312" w:cs="仿宋"/>
          <w:kern w:val="2"/>
          <w:sz w:val="32"/>
          <w:szCs w:val="32"/>
          <w:shd w:val="clear" w:color="auto" w:fill="FFFFFF"/>
          <w:lang w:val="en-US" w:eastAsia="zh-CN" w:bidi="ar"/>
        </w:rPr>
        <w:t>《工业涂装工序挥发性有机物排放标准》（DB35/1783-2018）表4限值，其中二甲苯执行《工业涂装工序挥发性有机物排放标准》（DB35/1783-2018）表4限值</w:t>
      </w:r>
      <w:r>
        <w:rPr>
          <w:rFonts w:hint="eastAsia" w:ascii="仿宋_GB2312" w:hAnsi="仿宋" w:cs="仿宋"/>
          <w:color w:val="auto"/>
          <w:sz w:val="32"/>
          <w:szCs w:val="32"/>
          <w:shd w:val="clear" w:color="auto" w:fill="FFFFFF"/>
          <w:lang w:val="en-US" w:eastAsia="zh-CN"/>
        </w:rPr>
        <w:t>；</w:t>
      </w:r>
      <w:r>
        <w:rPr>
          <w:rFonts w:hint="eastAsia" w:ascii="仿宋_GB2312" w:hAnsi="仿宋" w:eastAsia="仿宋_GB2312" w:cs="仿宋"/>
          <w:kern w:val="2"/>
          <w:sz w:val="32"/>
          <w:szCs w:val="32"/>
          <w:shd w:val="clear" w:color="auto" w:fill="FFFFFF"/>
          <w:lang w:val="en-US" w:eastAsia="zh-CN" w:bidi="ar"/>
        </w:rPr>
        <w:t>厂区内非甲烷总烃监控点处1h平均浓度值同时执行DB35/1783-2018表3及DB35/1784-2018表2限值；任意一次浓度值</w:t>
      </w:r>
      <w:r>
        <w:rPr>
          <w:rFonts w:hint="eastAsia" w:ascii="仿宋_GB2312" w:hAnsi="仿宋" w:cs="仿宋"/>
          <w:kern w:val="2"/>
          <w:sz w:val="32"/>
          <w:szCs w:val="32"/>
          <w:shd w:val="clear" w:color="auto" w:fill="FFFFFF"/>
          <w:lang w:val="en-US" w:eastAsia="zh-CN" w:bidi="ar"/>
        </w:rPr>
        <w:t>应</w:t>
      </w:r>
      <w:r>
        <w:rPr>
          <w:rFonts w:hint="eastAsia" w:ascii="仿宋_GB2312" w:hAnsi="仿宋" w:eastAsia="仿宋_GB2312" w:cs="仿宋"/>
          <w:kern w:val="2"/>
          <w:sz w:val="32"/>
          <w:szCs w:val="32"/>
          <w:shd w:val="clear" w:color="auto" w:fill="FFFFFF"/>
          <w:lang w:val="en-US" w:eastAsia="zh-CN" w:bidi="ar"/>
        </w:rPr>
        <w:t>执行《挥发性有机物无组织排放控制标准》（GB 37822-2019）附录A表A.1标准限值。</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eastAsia="zh-CN"/>
        </w:rPr>
        <w:t>3.噪声源应采取切实有效的隔音、减振措施,项目厂界噪声执行《工业企业厂界环境噪声排放标准》（GB12348-2008）的</w:t>
      </w:r>
      <w:r>
        <w:rPr>
          <w:rFonts w:hint="eastAsia" w:ascii="仿宋_GB2312" w:hAnsi="仿宋" w:cs="仿宋"/>
          <w:color w:val="auto"/>
          <w:sz w:val="32"/>
          <w:szCs w:val="32"/>
          <w:shd w:val="clear" w:color="auto" w:fill="FFFFFF"/>
          <w:lang w:val="en-US" w:eastAsia="zh-CN"/>
        </w:rPr>
        <w:t>3</w:t>
      </w:r>
      <w:r>
        <w:rPr>
          <w:rFonts w:hint="eastAsia" w:ascii="仿宋_GB2312" w:hAnsi="仿宋" w:cs="仿宋"/>
          <w:color w:val="auto"/>
          <w:sz w:val="32"/>
          <w:szCs w:val="32"/>
          <w:shd w:val="clear" w:color="auto" w:fill="FFFFFF"/>
          <w:lang w:eastAsia="zh-CN"/>
        </w:rPr>
        <w:t>类标准，即昼间≤6</w:t>
      </w:r>
      <w:r>
        <w:rPr>
          <w:rFonts w:hint="eastAsia" w:ascii="仿宋_GB2312" w:hAnsi="仿宋" w:cs="仿宋"/>
          <w:color w:val="auto"/>
          <w:sz w:val="32"/>
          <w:szCs w:val="32"/>
          <w:shd w:val="clear" w:color="auto" w:fill="FFFFFF"/>
          <w:lang w:val="en-US" w:eastAsia="zh-CN"/>
        </w:rPr>
        <w:t>5</w:t>
      </w:r>
      <w:r>
        <w:rPr>
          <w:rFonts w:hint="eastAsia" w:ascii="仿宋_GB2312" w:hAnsi="仿宋" w:cs="仿宋"/>
          <w:color w:val="auto"/>
          <w:sz w:val="32"/>
          <w:szCs w:val="32"/>
          <w:shd w:val="clear" w:color="auto" w:fill="FFFFFF"/>
          <w:lang w:eastAsia="zh-CN"/>
        </w:rPr>
        <w:t>dB(A)、夜间≤5</w:t>
      </w:r>
      <w:r>
        <w:rPr>
          <w:rFonts w:hint="eastAsia" w:ascii="仿宋_GB2312" w:hAnsi="仿宋" w:cs="仿宋"/>
          <w:color w:val="auto"/>
          <w:sz w:val="32"/>
          <w:szCs w:val="32"/>
          <w:shd w:val="clear" w:color="auto" w:fill="FFFFFF"/>
          <w:lang w:val="en-US" w:eastAsia="zh-CN"/>
        </w:rPr>
        <w:t>5</w:t>
      </w:r>
      <w:r>
        <w:rPr>
          <w:rFonts w:hint="eastAsia" w:ascii="仿宋_GB2312" w:hAnsi="仿宋" w:cs="仿宋"/>
          <w:color w:val="auto"/>
          <w:sz w:val="32"/>
          <w:szCs w:val="32"/>
          <w:shd w:val="clear" w:color="auto" w:fill="FFFFFF"/>
          <w:lang w:eastAsia="zh-CN"/>
        </w:rPr>
        <w:t>dB(A)。</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 w:cs="仿宋"/>
          <w:color w:val="auto"/>
          <w:sz w:val="32"/>
          <w:szCs w:val="32"/>
          <w:shd w:val="clear" w:color="auto" w:fill="FFFFFF"/>
          <w:lang w:eastAsia="zh-CN"/>
        </w:rPr>
        <w:t>4.</w:t>
      </w:r>
      <w:r>
        <w:rPr>
          <w:rFonts w:hint="eastAsia" w:ascii="仿宋_GB2312" w:hAnsi="仿宋" w:cs="仿宋"/>
          <w:color w:val="auto"/>
          <w:sz w:val="32"/>
          <w:szCs w:val="32"/>
          <w:shd w:val="clear" w:color="auto" w:fill="FFFFFF"/>
          <w:lang w:val="en-US" w:eastAsia="zh-CN"/>
        </w:rPr>
        <w:t>废活性炭、水帘柜废水、漆渣等危险废物应严格按照</w:t>
      </w:r>
      <w:r>
        <w:rPr>
          <w:rFonts w:hint="default" w:ascii="仿宋_GB2312" w:hAnsi="仿宋" w:cs="仿宋"/>
          <w:color w:val="auto"/>
          <w:sz w:val="32"/>
          <w:szCs w:val="32"/>
          <w:shd w:val="clear" w:color="auto" w:fill="FFFFFF"/>
          <w:lang w:eastAsia="zh-CN"/>
        </w:rPr>
        <w:t>《危险废物贮存污染控制标准》（GB18597-2023）</w:t>
      </w:r>
      <w:r>
        <w:rPr>
          <w:rFonts w:hint="eastAsia" w:ascii="仿宋_GB2312" w:hAnsi="仿宋" w:cs="仿宋"/>
          <w:color w:val="auto"/>
          <w:sz w:val="32"/>
          <w:szCs w:val="32"/>
          <w:shd w:val="clear" w:color="auto" w:fill="FFFFFF"/>
          <w:lang w:val="en-US" w:eastAsia="zh-CN"/>
        </w:rPr>
        <w:t>中相关要求，按规范设置贮存场所并委托有资质单位处置；木材边角料、铁质边角料、废原料包装等一般</w:t>
      </w:r>
      <w:r>
        <w:rPr>
          <w:rFonts w:hint="eastAsia" w:ascii="仿宋_GB2312" w:hAnsi="仿宋" w:cs="仿宋"/>
          <w:color w:val="auto"/>
          <w:sz w:val="32"/>
          <w:szCs w:val="32"/>
          <w:shd w:val="clear" w:color="auto" w:fill="FFFFFF"/>
          <w:lang w:eastAsia="zh-CN"/>
        </w:rPr>
        <w:t>工业固废应</w:t>
      </w:r>
      <w:r>
        <w:rPr>
          <w:rFonts w:hint="eastAsia" w:ascii="仿宋_GB2312" w:hAnsi="仿宋" w:cs="仿宋"/>
          <w:color w:val="auto"/>
          <w:sz w:val="32"/>
          <w:szCs w:val="32"/>
          <w:shd w:val="clear" w:color="auto" w:fill="FFFFFF"/>
          <w:lang w:val="en-US" w:eastAsia="zh-CN"/>
        </w:rPr>
        <w:t>分类</w:t>
      </w:r>
      <w:r>
        <w:rPr>
          <w:rFonts w:hint="eastAsia" w:ascii="仿宋_GB2312" w:hAnsi="仿宋" w:cs="仿宋"/>
          <w:color w:val="auto"/>
          <w:sz w:val="32"/>
          <w:szCs w:val="32"/>
          <w:shd w:val="clear" w:color="auto" w:fill="FFFFFF"/>
          <w:lang w:eastAsia="zh-CN"/>
        </w:rPr>
        <w:t>收集后综合处置；</w:t>
      </w:r>
      <w:r>
        <w:rPr>
          <w:rFonts w:hint="eastAsia" w:ascii="仿宋_GB2312" w:hAnsi="仿宋" w:cs="仿宋"/>
          <w:color w:val="auto"/>
          <w:sz w:val="32"/>
          <w:szCs w:val="32"/>
          <w:shd w:val="clear" w:color="auto" w:fill="FFFFFF"/>
          <w:lang w:val="en-US" w:eastAsia="zh-CN"/>
        </w:rPr>
        <w:t>原料空桶</w:t>
      </w:r>
      <w:r>
        <w:rPr>
          <w:rFonts w:hint="default" w:ascii="仿宋_GB2312" w:hAnsi="仿宋" w:cs="仿宋"/>
          <w:color w:val="auto"/>
          <w:sz w:val="32"/>
          <w:szCs w:val="32"/>
          <w:shd w:val="clear" w:color="auto" w:fill="FFFFFF"/>
          <w:lang w:eastAsia="zh-CN"/>
        </w:rPr>
        <w:t>按危废管理要求暂存于危废暂存间内，定期由厂家回收利用</w:t>
      </w:r>
      <w:r>
        <w:rPr>
          <w:rFonts w:hint="eastAsia" w:ascii="仿宋_GB2312" w:hAnsi="仿宋" w:cs="仿宋"/>
          <w:color w:val="auto"/>
          <w:sz w:val="32"/>
          <w:szCs w:val="32"/>
          <w:shd w:val="clear" w:color="auto" w:fill="FFFFFF"/>
          <w:lang w:eastAsia="zh-CN"/>
        </w:rPr>
        <w:t>；生活垃圾集中收集后应由环卫部门统一清运。</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项目主要污染物排放总量控制指标：</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 w:cs="仿宋"/>
          <w:color w:val="auto"/>
          <w:kern w:val="2"/>
          <w:sz w:val="32"/>
          <w:szCs w:val="32"/>
          <w:shd w:val="clear" w:color="auto" w:fill="FFFFFF"/>
          <w:lang w:val="en-US" w:eastAsia="zh-CN" w:bidi="ar-SA"/>
        </w:rPr>
      </w:pPr>
      <w:r>
        <w:rPr>
          <w:rFonts w:hint="eastAsia" w:ascii="仿宋_GB2312" w:hAnsi="仿宋" w:cs="仿宋"/>
          <w:color w:val="auto"/>
          <w:kern w:val="2"/>
          <w:sz w:val="32"/>
          <w:szCs w:val="32"/>
          <w:shd w:val="clear" w:color="auto" w:fill="FFFFFF"/>
          <w:lang w:val="en-US" w:eastAsia="zh-CN" w:bidi="ar-SA"/>
        </w:rPr>
        <w:t>1.</w:t>
      </w:r>
      <w:r>
        <w:rPr>
          <w:rFonts w:hint="eastAsia" w:ascii="仿宋_GB2312" w:hAnsi="仿宋" w:eastAsia="仿宋_GB2312" w:cs="仿宋"/>
          <w:kern w:val="2"/>
          <w:sz w:val="32"/>
          <w:szCs w:val="32"/>
          <w:shd w:val="clear" w:color="auto" w:fill="FFFFFF"/>
          <w:lang w:val="en-US" w:eastAsia="zh-CN" w:bidi="ar"/>
        </w:rPr>
        <w:t>项目新增主要污染总量指标：SO</w:t>
      </w:r>
      <w:r>
        <w:rPr>
          <w:rFonts w:hint="eastAsia" w:ascii="仿宋_GB2312" w:hAnsi="仿宋" w:eastAsia="仿宋_GB2312" w:cs="仿宋"/>
          <w:kern w:val="2"/>
          <w:sz w:val="32"/>
          <w:szCs w:val="32"/>
          <w:shd w:val="clear" w:color="auto" w:fill="FFFFFF"/>
          <w:vertAlign w:val="subscript"/>
          <w:lang w:val="en-US" w:eastAsia="zh-CN" w:bidi="ar"/>
        </w:rPr>
        <w:t>2</w:t>
      </w:r>
      <w:r>
        <w:rPr>
          <w:rFonts w:hint="eastAsia" w:ascii="仿宋_GB2312" w:hAnsi="仿宋" w:eastAsia="仿宋_GB2312" w:cs="仿宋"/>
          <w:kern w:val="2"/>
          <w:sz w:val="32"/>
          <w:szCs w:val="32"/>
          <w:shd w:val="clear" w:color="auto" w:fill="FFFFFF"/>
          <w:lang w:val="en-US" w:eastAsia="zh-CN" w:bidi="ar"/>
        </w:rPr>
        <w:t>≤</w:t>
      </w:r>
      <w:r>
        <w:rPr>
          <w:rFonts w:hint="eastAsia" w:ascii="仿宋_GB2312" w:hAnsi="仿宋" w:cs="仿宋"/>
          <w:kern w:val="2"/>
          <w:sz w:val="32"/>
          <w:szCs w:val="32"/>
          <w:shd w:val="clear" w:color="auto" w:fill="FFFFFF"/>
          <w:lang w:val="en-US" w:eastAsia="zh-CN" w:bidi="ar"/>
        </w:rPr>
        <w:t>0.0408</w:t>
      </w:r>
      <w:r>
        <w:rPr>
          <w:rFonts w:hint="eastAsia" w:ascii="仿宋_GB2312" w:hAnsi="仿宋" w:eastAsia="仿宋_GB2312" w:cs="仿宋"/>
          <w:kern w:val="2"/>
          <w:sz w:val="32"/>
          <w:szCs w:val="32"/>
          <w:shd w:val="clear" w:color="auto" w:fill="FFFFFF"/>
          <w:lang w:val="en-US" w:eastAsia="zh-CN" w:bidi="ar"/>
        </w:rPr>
        <w:t>t/a，NO</w:t>
      </w:r>
      <w:r>
        <w:rPr>
          <w:rFonts w:hint="eastAsia" w:ascii="仿宋_GB2312" w:hAnsi="仿宋" w:eastAsia="仿宋_GB2312" w:cs="仿宋"/>
          <w:kern w:val="2"/>
          <w:sz w:val="32"/>
          <w:szCs w:val="32"/>
          <w:shd w:val="clear" w:color="auto" w:fill="FFFFFF"/>
          <w:vertAlign w:val="subscript"/>
          <w:lang w:val="en-US" w:eastAsia="zh-CN" w:bidi="ar"/>
        </w:rPr>
        <w:t>X</w:t>
      </w:r>
      <w:r>
        <w:rPr>
          <w:rFonts w:hint="eastAsia" w:ascii="仿宋_GB2312" w:hAnsi="仿宋" w:eastAsia="仿宋_GB2312" w:cs="仿宋"/>
          <w:kern w:val="2"/>
          <w:sz w:val="32"/>
          <w:szCs w:val="32"/>
          <w:shd w:val="clear" w:color="auto" w:fill="FFFFFF"/>
          <w:lang w:val="en-US" w:eastAsia="zh-CN" w:bidi="ar"/>
        </w:rPr>
        <w:t>≤</w:t>
      </w:r>
      <w:r>
        <w:rPr>
          <w:rFonts w:hint="eastAsia" w:ascii="仿宋_GB2312" w:hAnsi="仿宋" w:cs="仿宋"/>
          <w:kern w:val="2"/>
          <w:sz w:val="32"/>
          <w:szCs w:val="32"/>
          <w:shd w:val="clear" w:color="auto" w:fill="FFFFFF"/>
          <w:lang w:val="en-US" w:eastAsia="zh-CN" w:bidi="ar"/>
        </w:rPr>
        <w:t>0.1632</w:t>
      </w:r>
      <w:r>
        <w:rPr>
          <w:rFonts w:hint="eastAsia" w:ascii="仿宋_GB2312" w:hAnsi="仿宋" w:eastAsia="仿宋_GB2312" w:cs="仿宋"/>
          <w:kern w:val="2"/>
          <w:sz w:val="32"/>
          <w:szCs w:val="32"/>
          <w:shd w:val="clear" w:color="auto" w:fill="FFFFFF"/>
          <w:lang w:val="en-US" w:eastAsia="zh-CN" w:bidi="ar"/>
        </w:rPr>
        <w:t>t/a，你公司应按照闽环发〔2018〕26号文件要求及承诺，在按规定程序依法取得新增污染物排污权指标前，项目不得投入生产。</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default" w:ascii="仿宋_GB2312" w:hAnsi="仿宋" w:eastAsia="仿宋_GB2312" w:cs="仿宋"/>
          <w:color w:val="auto"/>
          <w:kern w:val="2"/>
          <w:sz w:val="32"/>
          <w:szCs w:val="32"/>
          <w:shd w:val="clear" w:color="auto" w:fill="FFFFFF"/>
          <w:lang w:val="en-US" w:eastAsia="zh-CN" w:bidi="ar-SA"/>
        </w:rPr>
      </w:pPr>
      <w:r>
        <w:rPr>
          <w:rFonts w:hint="eastAsia" w:ascii="仿宋_GB2312" w:hAnsi="仿宋" w:cs="仿宋"/>
          <w:color w:val="auto"/>
          <w:kern w:val="2"/>
          <w:sz w:val="32"/>
          <w:szCs w:val="32"/>
          <w:shd w:val="clear" w:color="auto" w:fill="FFFFFF"/>
          <w:lang w:val="en-US" w:eastAsia="zh-CN" w:bidi="ar-SA"/>
        </w:rPr>
        <w:t>2.</w:t>
      </w:r>
      <w:r>
        <w:rPr>
          <w:rFonts w:hint="default" w:ascii="仿宋_GB2312" w:hAnsi="仿宋" w:eastAsia="仿宋_GB2312" w:cs="仿宋"/>
          <w:color w:val="auto"/>
          <w:kern w:val="2"/>
          <w:sz w:val="32"/>
          <w:szCs w:val="32"/>
          <w:shd w:val="clear" w:color="auto" w:fill="FFFFFF"/>
          <w:lang w:val="en-US" w:eastAsia="zh-CN" w:bidi="ar-SA"/>
        </w:rPr>
        <w:t>项目新增VOCs排放量</w:t>
      </w:r>
      <w:r>
        <w:rPr>
          <w:rFonts w:hint="eastAsia" w:ascii="仿宋_GB2312" w:hAnsi="仿宋" w:cs="仿宋"/>
          <w:color w:val="auto"/>
          <w:kern w:val="2"/>
          <w:sz w:val="32"/>
          <w:szCs w:val="32"/>
          <w:shd w:val="clear" w:color="auto" w:fill="FFFFFF"/>
          <w:lang w:val="en-US" w:eastAsia="zh-CN" w:bidi="ar-SA"/>
        </w:rPr>
        <w:t>0.4514</w:t>
      </w:r>
      <w:r>
        <w:rPr>
          <w:rFonts w:hint="default" w:ascii="仿宋_GB2312" w:hAnsi="仿宋" w:eastAsia="仿宋_GB2312" w:cs="仿宋"/>
          <w:color w:val="auto"/>
          <w:kern w:val="2"/>
          <w:sz w:val="32"/>
          <w:szCs w:val="32"/>
          <w:shd w:val="clear" w:color="auto" w:fill="FFFFFF"/>
          <w:lang w:val="en-US" w:eastAsia="zh-CN" w:bidi="ar-SA"/>
        </w:rPr>
        <w:t>t/a，在惠安区域内执行1.2倍量削减替代（即</w:t>
      </w:r>
      <w:r>
        <w:rPr>
          <w:rFonts w:hint="eastAsia" w:ascii="仿宋_GB2312" w:hAnsi="仿宋" w:cs="仿宋"/>
          <w:color w:val="auto"/>
          <w:kern w:val="2"/>
          <w:sz w:val="32"/>
          <w:szCs w:val="32"/>
          <w:shd w:val="clear" w:color="auto" w:fill="FFFFFF"/>
          <w:lang w:val="en-US" w:eastAsia="zh-CN" w:bidi="ar-SA"/>
        </w:rPr>
        <w:t>0.5417</w:t>
      </w:r>
      <w:r>
        <w:rPr>
          <w:rFonts w:hint="default" w:ascii="仿宋_GB2312" w:hAnsi="仿宋" w:eastAsia="仿宋_GB2312" w:cs="仿宋"/>
          <w:color w:val="auto"/>
          <w:kern w:val="2"/>
          <w:sz w:val="32"/>
          <w:szCs w:val="32"/>
          <w:shd w:val="clear" w:color="auto" w:fill="FFFFFF"/>
          <w:lang w:val="en-US" w:eastAsia="zh-CN" w:bidi="ar-SA"/>
        </w:rPr>
        <w:t>t/a）</w:t>
      </w:r>
      <w:r>
        <w:rPr>
          <w:rFonts w:hint="eastAsia" w:ascii="仿宋_GB2312" w:hAnsi="仿宋" w:eastAsia="仿宋_GB2312" w:cs="仿宋"/>
          <w:color w:val="auto"/>
          <w:kern w:val="2"/>
          <w:sz w:val="32"/>
          <w:szCs w:val="32"/>
          <w:shd w:val="clear" w:color="auto" w:fill="FFFFFF"/>
          <w:lang w:val="en-US" w:eastAsia="zh-CN" w:bidi="ar-SA"/>
        </w:rPr>
        <w:t>。</w:t>
      </w:r>
    </w:p>
    <w:p>
      <w:pPr>
        <w:pStyle w:val="4"/>
        <w:keepNext w:val="0"/>
        <w:keepLines w:val="0"/>
        <w:pageBreakBefore w:val="0"/>
        <w:widowControl w:val="0"/>
        <w:kinsoku/>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 xml:space="preserve">、你公司应严格执行建设项目环保“三同时”制度，项目竣工后，按照国务院生态环境行政主管部门规定的标准和程序，对项目开展竣工环保验收。验收过程不得弄虚作假，并依法向社会公开验收报告。 </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五、你公司应按照《排污许可管理条例》规定，</w:t>
      </w:r>
      <w:r>
        <w:rPr>
          <w:rFonts w:hint="eastAsia" w:ascii="仿宋_GB2312" w:hAnsi="仿宋_GB2312" w:eastAsia="仿宋_GB2312" w:cs="仿宋_GB2312"/>
          <w:kern w:val="2"/>
          <w:sz w:val="32"/>
          <w:szCs w:val="32"/>
          <w:shd w:val="clear" w:color="auto" w:fill="FFFFFF"/>
          <w:lang w:val="en-US" w:eastAsia="zh-CN" w:bidi="ar-SA"/>
        </w:rPr>
        <w:t>及时进行排污登记。</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六、该项目环境影响报告表批复后，若工程建设的性质、规模、地点、采用的生产工艺或防治污染的措施等发生重大变动，应依法重新办理环境影响评价审批手续。</w:t>
      </w:r>
    </w:p>
    <w:p>
      <w:pPr>
        <w:keepNext w:val="0"/>
        <w:keepLines w:val="0"/>
        <w:pageBreakBefore w:val="0"/>
        <w:widowControl w:val="0"/>
        <w:kinsoku/>
        <w:overflowPunct/>
        <w:topLinePunct w:val="0"/>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七、我局委托泉州市惠安生态环境保护综合执法大队按全链条环境监管要求，做好该项目环保“三同时”监督抽查工作。</w:t>
      </w:r>
    </w:p>
    <w:p>
      <w:pPr>
        <w:keepNext w:val="0"/>
        <w:keepLines w:val="0"/>
        <w:pageBreakBefore w:val="0"/>
        <w:widowControl w:val="0"/>
        <w:kinsoku/>
        <w:overflowPunct/>
        <w:topLinePunct w:val="0"/>
        <w:autoSpaceDN/>
        <w:bidi w:val="0"/>
        <w:adjustRightInd/>
        <w:snapToGrid/>
        <w:spacing w:line="540" w:lineRule="exact"/>
        <w:ind w:right="-32" w:rightChars="-1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overflowPunct/>
        <w:topLinePunct w:val="0"/>
        <w:autoSpaceDN/>
        <w:bidi w:val="0"/>
        <w:adjustRightInd/>
        <w:snapToGrid/>
        <w:spacing w:line="540" w:lineRule="exact"/>
        <w:ind w:right="-32" w:rightChars="-1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N/>
        <w:bidi w:val="0"/>
        <w:adjustRightInd/>
        <w:snapToGrid/>
        <w:spacing w:line="540" w:lineRule="exact"/>
        <w:ind w:right="-32" w:rightChars="-1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泉州市生态环境局 </w:t>
      </w:r>
    </w:p>
    <w:p>
      <w:pPr>
        <w:keepNext w:val="0"/>
        <w:keepLines w:val="0"/>
        <w:pageBreakBefore w:val="0"/>
        <w:widowControl w:val="0"/>
        <w:kinsoku/>
        <w:overflowPunct/>
        <w:topLinePunct w:val="0"/>
        <w:autoSpaceDN/>
        <w:bidi w:val="0"/>
        <w:adjustRightInd/>
        <w:snapToGrid/>
        <w:spacing w:line="540" w:lineRule="exact"/>
        <w:jc w:val="right"/>
        <w:textAlignment w:val="auto"/>
        <w:rPr>
          <w:rFonts w:hint="eastAsia" w:ascii="仿宋_GB2312" w:hAnsi="仿宋" w:cs="仿宋"/>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31</w:t>
      </w:r>
      <w:bookmarkStart w:id="0" w:name="_GoBack"/>
      <w:bookmarkEnd w:id="0"/>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right"/>
        <w:textAlignment w:val="auto"/>
        <w:rPr>
          <w:rFonts w:hint="eastAsia" w:ascii="仿宋_GB2312" w:hAnsi="仿宋" w:cs="仿宋"/>
          <w:color w:val="FF0000"/>
          <w:sz w:val="84"/>
          <w:szCs w:val="8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744" w:hanging="744" w:hangingChars="300"/>
        <w:textAlignment w:val="auto"/>
        <w:rPr>
          <w:rFonts w:hint="eastAsia" w:ascii="仿宋_GB2312" w:hAnsi="仿宋"/>
          <w:spacing w:val="-16"/>
          <w:sz w:val="24"/>
          <w:szCs w:val="24"/>
          <w:lang w:eastAsia="zh-CN"/>
        </w:rPr>
      </w:pPr>
      <w:r>
        <w:rPr>
          <w:rFonts w:hint="eastAsia" w:ascii="仿宋_GB2312"/>
          <w:spacing w:val="-16"/>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598805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47.15pt;height:0.05pt;width:437.05pt;z-index:251659264;mso-width-relative:page;mso-height-relative:page;" filled="f" stroked="t" coordsize="21600,21600" o:gfxdata="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MSfmjUAAAABgEAAA8AAAAAAAAAAQAgAAAAOAAAAGRy&#10;cy9kb3ducmV2LnhtbFBLAQIUABQAAAAIAIdO4kAFBbs+8wEAAOYDAAAOAAAAAAAAAAEAIAAAADkB&#10;AABkcnMvZTJvRG9jLnhtbFBLBQYAAAAABgAGAFkBAACeBQ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18415</wp:posOffset>
                </wp:positionV>
                <wp:extent cx="5541645" cy="10160"/>
                <wp:effectExtent l="0" t="4445" r="1905" b="13970"/>
                <wp:wrapNone/>
                <wp:docPr id="2" name="直接连接符 2"/>
                <wp:cNvGraphicFramePr/>
                <a:graphic xmlns:a="http://schemas.openxmlformats.org/drawingml/2006/main">
                  <a:graphicData uri="http://schemas.microsoft.com/office/word/2010/wordprocessingShape">
                    <wps:wsp>
                      <wps:cNvCnPr/>
                      <wps:spPr>
                        <a:xfrm>
                          <a:off x="0" y="0"/>
                          <a:ext cx="554164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45pt;height:0.8pt;width:436.35pt;z-index:251660288;mso-width-relative:page;mso-height-relative:page;" filled="f" stroked="t" coordsize="21600,21600" o:gfxdata="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1XoG61QAAAAUBAAAPAAAAAAAAAAEAIAAA&#10;ADgAAABkcnMvZG93bnJldi54bWxQSwECFAAUAAAACACHTuJABIgZjvkBAADoAwAADgAAAAAAAAAB&#10;ACAAAAA6AQAAZHJzL2Uyb0RvYy54bWxQSwUGAAAAAAYABgBZAQAApQU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w:t>抄送：黄塘镇人民政府，泉州市惠安生态环境保护综合执法大队，福建省裕丰环保科技有限公司。</w:t>
      </w:r>
    </w:p>
    <w:sectPr>
      <w:headerReference r:id="rId3" w:type="default"/>
      <w:footerReference r:id="rId4" w:type="default"/>
      <w:footerReference r:id="rId5" w:type="even"/>
      <w:pgSz w:w="11907" w:h="16840"/>
      <w:pgMar w:top="1701" w:right="1588" w:bottom="1418" w:left="1588" w:header="851" w:footer="851"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宋体" w:hAnsi="宋体" w:eastAsia="宋体"/>
        <w:sz w:val="28"/>
        <w:szCs w:val="28"/>
        <w:lang w:eastAsia="zh-CN"/>
      </w:rPr>
    </w:pPr>
    <w:r>
      <w:rPr>
        <w:rFonts w:ascii="宋体" w:hAnsi="宋体" w:eastAsia="宋体"/>
        <w:sz w:val="28"/>
        <w:szCs w:val="28"/>
      </w:rPr>
      <w:fldChar w:fldCharType="begin"/>
    </w:r>
    <w:r>
      <w:rPr>
        <w:rStyle w:val="7"/>
        <w:rFonts w:ascii="宋体" w:hAnsi="宋体" w:eastAsia="宋体"/>
        <w:sz w:val="28"/>
        <w:szCs w:val="28"/>
      </w:rPr>
      <w:instrText xml:space="preserve"> PAGE </w:instrText>
    </w:r>
    <w:r>
      <w:rPr>
        <w:rFonts w:ascii="宋体" w:hAnsi="宋体" w:eastAsia="宋体"/>
        <w:sz w:val="28"/>
        <w:szCs w:val="28"/>
      </w:rPr>
      <w:fldChar w:fldCharType="separate"/>
    </w:r>
    <w:r>
      <w:rPr>
        <w:rStyle w:val="7"/>
        <w:rFonts w:ascii="宋体" w:hAnsi="宋体" w:eastAsia="宋体"/>
        <w:sz w:val="28"/>
        <w:szCs w:val="28"/>
      </w:rPr>
      <w:t>- 1 -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 PAGE </w:instrText>
    </w:r>
    <w:r>
      <w:rPr>
        <w:rFonts w:ascii="宋体" w:hAnsi="宋体" w:eastAsia="宋体"/>
        <w:sz w:val="28"/>
        <w:szCs w:val="28"/>
      </w:rPr>
      <w:fldChar w:fldCharType="separate"/>
    </w:r>
    <w:r>
      <w:rPr>
        <w:rStyle w:val="7"/>
        <w:rFonts w:ascii="宋体" w:hAnsi="宋体" w:eastAsia="宋体"/>
        <w:sz w:val="28"/>
        <w:szCs w:val="28"/>
      </w:rPr>
      <w:t>- 6 -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73079"/>
    <w:multiLevelType w:val="singleLevel"/>
    <w:tmpl w:val="684730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zYxNDNjNTA4YjU5YjhmOTlhYzk5OTVjMWY2ZDMifQ=="/>
  </w:docVars>
  <w:rsids>
    <w:rsidRoot w:val="7EFE2B19"/>
    <w:rsid w:val="0E2B4468"/>
    <w:rsid w:val="0FFD57CA"/>
    <w:rsid w:val="176461FD"/>
    <w:rsid w:val="177D95C4"/>
    <w:rsid w:val="205C13D9"/>
    <w:rsid w:val="2D7673B7"/>
    <w:rsid w:val="38BA5B86"/>
    <w:rsid w:val="3A5D3F40"/>
    <w:rsid w:val="3BFAA1E6"/>
    <w:rsid w:val="5B4A0AD9"/>
    <w:rsid w:val="68DA0E95"/>
    <w:rsid w:val="6C790EFF"/>
    <w:rsid w:val="6C8C514C"/>
    <w:rsid w:val="79FB812F"/>
    <w:rsid w:val="7EFE2B19"/>
    <w:rsid w:val="7FF7C82E"/>
    <w:rsid w:val="C6366123"/>
    <w:rsid w:val="D95F803B"/>
    <w:rsid w:val="DE7CD602"/>
    <w:rsid w:val="EBE3C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lang w:val="en-US" w:eastAsia="ar-SA"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paragraph" w:customStyle="1" w:styleId="8">
    <w:name w:val="封面表格"/>
    <w:next w:val="9"/>
    <w:qFormat/>
    <w:uiPriority w:val="0"/>
    <w:pPr>
      <w:adjustRightInd w:val="0"/>
      <w:snapToGrid w:val="0"/>
      <w:jc w:val="center"/>
    </w:pPr>
    <w:rPr>
      <w:rFonts w:ascii="宋体" w:hAnsi="Times New Roman" w:eastAsia="仿宋_GB2312" w:cs="宋体"/>
      <w:color w:val="000000"/>
      <w:sz w:val="36"/>
      <w:szCs w:val="36"/>
      <w:lang w:val="en-US" w:eastAsia="zh-CN" w:bidi="ar-SA"/>
    </w:rPr>
  </w:style>
  <w:style w:type="paragraph" w:customStyle="1" w:styleId="9">
    <w:name w:val="封面底标"/>
    <w:qFormat/>
    <w:uiPriority w:val="0"/>
    <w:pPr>
      <w:adjustRightInd w:val="0"/>
      <w:snapToGrid w:val="0"/>
      <w:jc w:val="center"/>
    </w:pPr>
    <w:rPr>
      <w:rFonts w:ascii="Times New Roman" w:hAnsi="Times New Roman"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25</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2024-09-04T00:36:00Z</dcterms:created>
  <dc:creator>Queen</dc:creator>
  <cp:lastModifiedBy>admin</cp:lastModifiedBy>
  <cp:lastPrinted>2024-10-31T09:50:32Z</cp:lastPrinted>
  <dcterms:modified xsi:type="dcterms:W3CDTF">2024-10-31T09:52:10Z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FC0A15148083C31E73750767C764477E</vt:lpwstr>
  </property>
</Properties>
</file>