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_GB2312" w:hAnsi="仿宋"/>
          <w:sz w:val="24"/>
          <w:szCs w:val="24"/>
          <w:lang w:eastAsia="zh-CN"/>
        </w:rPr>
      </w:pP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_GB2312" w:hAnsi="仿宋"/>
          <w:sz w:val="24"/>
          <w:szCs w:val="24"/>
          <w:lang w:eastAsia="zh-CN"/>
        </w:rPr>
      </w:pPr>
    </w:p>
    <w:p>
      <w:pPr>
        <w:keepNext w:val="0"/>
        <w:keepLines w:val="0"/>
        <w:pageBreakBefore w:val="0"/>
        <w:widowControl w:val="0"/>
        <w:kinsoku/>
        <w:overflowPunct/>
        <w:topLinePunct w:val="0"/>
        <w:autoSpaceDE/>
        <w:autoSpaceDN/>
        <w:bidi w:val="0"/>
        <w:adjustRightInd/>
        <w:snapToGrid/>
        <w:spacing w:line="520" w:lineRule="exact"/>
        <w:ind w:right="147"/>
        <w:jc w:val="left"/>
        <w:textAlignment w:val="auto"/>
        <w:rPr>
          <w:rFonts w:hint="eastAsia" w:ascii="仿宋_GB2312" w:hAnsi="仿宋"/>
          <w:sz w:val="30"/>
          <w:szCs w:val="30"/>
          <w:lang w:eastAsia="zh-CN"/>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
        </w:rPr>
      </w:pPr>
      <w:r>
        <w:rPr>
          <w:rFonts w:hint="eastAsia" w:ascii="仿宋_GB2312" w:hAnsi="仿宋"/>
          <w:lang w:eastAsia="zh-CN"/>
        </w:rPr>
        <w:t>泉惠环评</w:t>
      </w:r>
      <w:r>
        <w:rPr>
          <w:rFonts w:hint="eastAsia" w:ascii="仿宋_GB2312" w:hAnsi="仿宋"/>
        </w:rPr>
        <w:t>〔20</w:t>
      </w:r>
      <w:r>
        <w:rPr>
          <w:rFonts w:hint="eastAsia" w:ascii="仿宋_GB2312" w:hAnsi="仿宋"/>
          <w:lang w:eastAsia="zh-CN"/>
        </w:rPr>
        <w:t>2</w:t>
      </w:r>
      <w:r>
        <w:rPr>
          <w:rFonts w:hint="eastAsia" w:ascii="仿宋_GB2312" w:hAnsi="仿宋"/>
          <w:lang w:val="en-US" w:eastAsia="zh-CN"/>
        </w:rPr>
        <w:t>4</w:t>
      </w:r>
      <w:r>
        <w:rPr>
          <w:rFonts w:hint="eastAsia" w:ascii="仿宋_GB2312" w:hAnsi="仿宋"/>
        </w:rPr>
        <w:t>〕表</w:t>
      </w:r>
      <w:r>
        <w:rPr>
          <w:rFonts w:hint="eastAsia" w:ascii="仿宋_GB2312" w:hAnsi="仿宋"/>
          <w:lang w:val="en-US" w:eastAsia="zh-CN"/>
        </w:rPr>
        <w:t>52</w:t>
      </w:r>
      <w:r>
        <w:rPr>
          <w:rFonts w:hint="eastAsia" w:ascii="仿宋_GB2312" w:hAnsi="仿宋"/>
        </w:rPr>
        <w:t>号</w:t>
      </w:r>
    </w:p>
    <w:p>
      <w:pPr>
        <w:keepNext w:val="0"/>
        <w:keepLines w:val="0"/>
        <w:pageBreakBefore w:val="0"/>
        <w:widowControl w:val="0"/>
        <w:kinsoku/>
        <w:overflowPunct/>
        <w:topLinePunct w:val="0"/>
        <w:autoSpaceDE/>
        <w:autoSpaceDN/>
        <w:bidi w:val="0"/>
        <w:adjustRightInd/>
        <w:snapToGrid/>
        <w:spacing w:line="460" w:lineRule="exact"/>
        <w:jc w:val="left"/>
        <w:textAlignment w:val="auto"/>
        <w:rPr>
          <w:rFonts w:hint="eastAsia" w:ascii="仿宋_GB2312" w:hAnsi="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泉州市生态环境局关于琦峰科技扩建项目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lang w:eastAsia="zh-CN"/>
        </w:rPr>
        <w:t>（</w:t>
      </w:r>
      <w:r>
        <w:rPr>
          <w:rFonts w:hint="eastAsia" w:ascii="方正小标宋简体" w:hAnsi="华文中宋" w:eastAsia="方正小标宋简体" w:cs="华文中宋"/>
          <w:bCs/>
          <w:sz w:val="44"/>
          <w:szCs w:val="44"/>
        </w:rPr>
        <w:t>一期工程</w:t>
      </w:r>
      <w:r>
        <w:rPr>
          <w:rFonts w:hint="eastAsia" w:ascii="方正小标宋简体" w:hAnsi="华文中宋" w:eastAsia="方正小标宋简体" w:cs="华文中宋"/>
          <w:bCs/>
          <w:sz w:val="44"/>
          <w:szCs w:val="44"/>
          <w:lang w:eastAsia="zh-CN"/>
        </w:rPr>
        <w:t>）</w:t>
      </w:r>
      <w:r>
        <w:rPr>
          <w:rFonts w:hint="eastAsia" w:ascii="方正小标宋简体" w:hAnsi="华文中宋" w:eastAsia="方正小标宋简体" w:cs="华文中宋"/>
          <w:bCs/>
          <w:sz w:val="44"/>
          <w:szCs w:val="44"/>
        </w:rPr>
        <w:t>环境影响报告表的批复</w:t>
      </w: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cs="仿宋_GB2312"/>
          <w:kern w:val="2"/>
          <w:sz w:val="32"/>
          <w:szCs w:val="32"/>
          <w:shd w:val="clear" w:color="auto" w:fill="FFFFFF"/>
          <w:lang w:val="en-US" w:eastAsia="zh-CN" w:bidi="ar-SA"/>
        </w:rPr>
        <w:t>福建琦峰科技有限公司</w:t>
      </w:r>
      <w:r>
        <w:rPr>
          <w:rFonts w:hint="eastAsia" w:ascii="仿宋_GB2312" w:hAnsi="仿宋_GB2312" w:eastAsia="仿宋_GB2312" w:cs="仿宋_GB2312"/>
          <w:kern w:val="2"/>
          <w:sz w:val="32"/>
          <w:szCs w:val="32"/>
          <w:shd w:val="clear" w:color="auto" w:fill="FFFFFF"/>
          <w:lang w:val="en-US" w:eastAsia="zh-CN" w:bidi="ar-SA"/>
        </w:rPr>
        <w:t>：</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你公司报送的由</w:t>
      </w:r>
      <w:r>
        <w:rPr>
          <w:rFonts w:hint="eastAsia" w:ascii="仿宋_GB2312" w:hAnsi="仿宋" w:cs="仿宋"/>
          <w:color w:val="auto"/>
          <w:sz w:val="32"/>
          <w:szCs w:val="32"/>
          <w:shd w:val="clear" w:color="auto" w:fill="FFFFFF"/>
          <w:lang w:eastAsia="zh-CN"/>
        </w:rPr>
        <w:t>福建省裕丰环保科技有限公司</w:t>
      </w:r>
      <w:r>
        <w:rPr>
          <w:rFonts w:hint="eastAsia" w:ascii="仿宋_GB2312" w:hAnsi="仿宋_GB2312" w:eastAsia="仿宋_GB2312" w:cs="仿宋_GB2312"/>
          <w:kern w:val="2"/>
          <w:sz w:val="32"/>
          <w:szCs w:val="32"/>
          <w:shd w:val="clear" w:color="auto" w:fill="FFFFFF"/>
          <w:lang w:val="en-US" w:eastAsia="zh-CN" w:bidi="ar-SA"/>
        </w:rPr>
        <w:t>编制的《</w:t>
      </w:r>
      <w:r>
        <w:rPr>
          <w:rFonts w:hint="eastAsia" w:ascii="仿宋_GB2312" w:hAnsi="仿宋_GB2312" w:cs="仿宋_GB2312"/>
          <w:kern w:val="2"/>
          <w:sz w:val="32"/>
          <w:szCs w:val="32"/>
          <w:shd w:val="clear" w:color="auto" w:fill="FFFFFF"/>
          <w:lang w:val="en-US" w:eastAsia="zh-CN" w:bidi="ar-SA"/>
        </w:rPr>
        <w:t>琦峰科技扩建项目（一期工程）</w:t>
      </w:r>
      <w:r>
        <w:rPr>
          <w:rFonts w:hint="eastAsia" w:ascii="仿宋_GB2312" w:hAnsi="仿宋_GB2312" w:eastAsia="仿宋_GB2312" w:cs="仿宋_GB2312"/>
          <w:kern w:val="2"/>
          <w:sz w:val="32"/>
          <w:szCs w:val="32"/>
          <w:shd w:val="clear" w:color="auto" w:fill="FFFFFF"/>
          <w:lang w:val="en-US" w:eastAsia="zh-CN" w:bidi="ar-SA"/>
        </w:rPr>
        <w:t>环境影响报告表》（以下简称《报告表》）收悉，批复如下：</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一、项目位于惠安县螺阳镇金山村（城南工业新区），</w:t>
      </w:r>
      <w:r>
        <w:rPr>
          <w:rFonts w:hint="eastAsia" w:ascii="仿宋_GB2312" w:hAnsi="仿宋_GB2312" w:cs="仿宋_GB2312"/>
          <w:kern w:val="2"/>
          <w:sz w:val="32"/>
          <w:szCs w:val="32"/>
          <w:shd w:val="clear" w:color="auto" w:fill="FFFFFF"/>
          <w:lang w:val="en-US" w:eastAsia="zh-CN" w:bidi="ar-SA"/>
        </w:rPr>
        <w:t>用地面积51亩（34000m</w:t>
      </w:r>
      <w:r>
        <w:rPr>
          <w:rFonts w:hint="eastAsia" w:ascii="仿宋_GB2312" w:hAnsi="仿宋_GB2312" w:cs="仿宋_GB2312"/>
          <w:kern w:val="2"/>
          <w:sz w:val="32"/>
          <w:szCs w:val="32"/>
          <w:shd w:val="clear" w:color="auto" w:fill="FFFFFF"/>
          <w:vertAlign w:val="superscript"/>
          <w:lang w:val="en-US" w:eastAsia="zh-CN" w:bidi="ar-SA"/>
        </w:rPr>
        <w:t>2</w:t>
      </w:r>
      <w:r>
        <w:rPr>
          <w:rFonts w:hint="eastAsia" w:ascii="仿宋_GB2312" w:hAnsi="仿宋_GB2312" w:cs="仿宋_GB2312"/>
          <w:kern w:val="2"/>
          <w:sz w:val="32"/>
          <w:szCs w:val="32"/>
          <w:shd w:val="clear" w:color="auto" w:fill="FFFFFF"/>
          <w:lang w:val="en-US" w:eastAsia="zh-CN" w:bidi="ar-SA"/>
        </w:rPr>
        <w:t>），总建筑面积54621</w:t>
      </w:r>
      <w:r>
        <w:rPr>
          <w:rFonts w:hint="default" w:ascii="仿宋_GB2312" w:hAnsi="仿宋_GB2312" w:eastAsia="仿宋_GB2312" w:cs="仿宋_GB2312"/>
          <w:kern w:val="2"/>
          <w:sz w:val="32"/>
          <w:szCs w:val="32"/>
          <w:shd w:val="clear" w:color="auto" w:fill="FFFFFF"/>
          <w:lang w:val="en-US" w:eastAsia="zh-CN" w:bidi="ar-SA"/>
        </w:rPr>
        <w:t>m</w:t>
      </w:r>
      <w:r>
        <w:rPr>
          <w:rFonts w:hint="default" w:ascii="仿宋_GB2312" w:hAnsi="仿宋_GB2312" w:eastAsia="仿宋_GB2312" w:cs="仿宋_GB2312"/>
          <w:kern w:val="2"/>
          <w:sz w:val="32"/>
          <w:szCs w:val="32"/>
          <w:shd w:val="clear" w:color="auto" w:fill="FFFFFF"/>
          <w:vertAlign w:val="superscript"/>
          <w:lang w:val="en-US" w:eastAsia="zh-CN" w:bidi="ar-SA"/>
        </w:rPr>
        <w:t>2</w:t>
      </w:r>
      <w:r>
        <w:rPr>
          <w:rFonts w:hint="eastAsia" w:ascii="仿宋_GB2312" w:hAnsi="仿宋_GB2312" w:cs="仿宋_GB2312"/>
          <w:kern w:val="2"/>
          <w:sz w:val="32"/>
          <w:szCs w:val="32"/>
          <w:shd w:val="clear" w:color="auto" w:fill="FFFFFF"/>
          <w:lang w:val="en-US" w:eastAsia="zh-CN" w:bidi="ar-SA"/>
        </w:rPr>
        <w:t>。</w:t>
      </w:r>
      <w:r>
        <w:rPr>
          <w:rFonts w:hint="eastAsia" w:ascii="仿宋_GB2312" w:hAnsi="仿宋_GB2312" w:eastAsia="仿宋_GB2312" w:cs="仿宋_GB2312"/>
          <w:kern w:val="2"/>
          <w:sz w:val="32"/>
          <w:szCs w:val="32"/>
          <w:shd w:val="clear" w:color="auto" w:fill="FFFFFF"/>
          <w:lang w:val="en-US" w:eastAsia="zh-CN" w:bidi="ar-SA"/>
        </w:rPr>
        <w:t>项目预计年产透气粒子19600吨、透气膜15600吨、流延膜5400吨、复合膜1400吨，总投资32000万元。项目建设内容、产品方案、生产工艺、设备等以《报告表》核定为准。</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根据《报告表》评价结论，项目建设和生产在全面落实《报告表》提出的各项环境保护对策措施后，污染物可达标排放，环境风险可防可控。我局同意你单位按照《报告表》中所列的项目性质、规模、地点、生产工艺和环保措施进行建设。</w:t>
      </w:r>
    </w:p>
    <w:p>
      <w:pPr>
        <w:pStyle w:val="5"/>
        <w:keepNext w:val="0"/>
        <w:keepLines w:val="0"/>
        <w:pageBreakBefore w:val="0"/>
        <w:widowControl w:val="0"/>
        <w:numPr>
          <w:ilvl w:val="0"/>
          <w:numId w:val="1"/>
        </w:numPr>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项目实施过程中，你公司应认真对照并落实《报告表》提出的各项环保对策措施，并重点做好以下工作：</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 w:cs="仿宋"/>
          <w:color w:val="auto"/>
          <w:sz w:val="32"/>
          <w:szCs w:val="32"/>
          <w:shd w:val="clear" w:color="auto" w:fill="FFFFFF"/>
          <w:lang w:val="en-US" w:eastAsia="zh-CN"/>
        </w:rPr>
      </w:pPr>
      <w:r>
        <w:rPr>
          <w:rFonts w:hint="eastAsia" w:ascii="仿宋_GB2312" w:hAnsi="仿宋" w:cs="仿宋"/>
          <w:color w:val="auto"/>
          <w:sz w:val="32"/>
          <w:szCs w:val="32"/>
          <w:shd w:val="clear" w:color="auto" w:fill="FFFFFF"/>
          <w:lang w:val="en-US" w:eastAsia="zh-CN"/>
        </w:rPr>
        <w:t>1.项目生产废水经污水处理站预处理，生活污水进入化粪池处理达标后，通过市政污水管网排入惠安县污水处理厂集中处理。外排废水应执行《污水综合排放标准》（GB8978-1996）表4三级标准，其中氨氮执行《污水排入城镇下水道水质标准》（GB/T31962-2015）表1的B等级标准。</w:t>
      </w:r>
    </w:p>
    <w:p>
      <w:pPr>
        <w:pStyle w:val="5"/>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0" w:leftChars="0" w:firstLine="640" w:firstLineChars="200"/>
        <w:jc w:val="both"/>
        <w:textAlignment w:val="auto"/>
        <w:rPr>
          <w:rFonts w:hint="eastAsia" w:ascii="仿宋_GB2312" w:hAnsi="仿宋" w:cs="仿宋"/>
          <w:kern w:val="2"/>
          <w:sz w:val="32"/>
          <w:szCs w:val="32"/>
          <w:shd w:val="clear" w:color="auto" w:fill="FFFFFF"/>
          <w:lang w:val="en-US" w:eastAsia="zh-CN" w:bidi="ar"/>
        </w:rPr>
      </w:pPr>
      <w:r>
        <w:rPr>
          <w:rFonts w:hint="eastAsia" w:ascii="仿宋_GB2312" w:hAnsi="仿宋" w:cs="仿宋"/>
          <w:color w:val="auto"/>
          <w:sz w:val="32"/>
          <w:szCs w:val="32"/>
          <w:shd w:val="clear" w:color="auto" w:fill="FFFFFF"/>
          <w:lang w:eastAsia="zh-CN"/>
        </w:rPr>
        <w:t>2.项目应配套废气处理设施。</w:t>
      </w:r>
      <w:r>
        <w:rPr>
          <w:rFonts w:hint="eastAsia" w:ascii="仿宋_GB2312" w:hAnsi="仿宋" w:cs="仿宋"/>
          <w:color w:val="auto"/>
          <w:sz w:val="32"/>
          <w:szCs w:val="32"/>
          <w:shd w:val="clear" w:color="auto" w:fill="FFFFFF"/>
          <w:lang w:val="en-US" w:eastAsia="zh-CN"/>
        </w:rPr>
        <w:t>投料及磨粉</w:t>
      </w:r>
      <w:r>
        <w:rPr>
          <w:rFonts w:hint="eastAsia" w:ascii="Times New Roman" w:hAnsi="Times New Roman" w:cs="仿宋"/>
          <w:kern w:val="2"/>
          <w:sz w:val="32"/>
          <w:szCs w:val="32"/>
          <w:lang w:val="en-US" w:eastAsia="zh-CN" w:bidi="ar-SA"/>
        </w:rPr>
        <w:t>工序产生的</w:t>
      </w:r>
      <w:r>
        <w:rPr>
          <w:rFonts w:hint="eastAsia" w:cs="仿宋"/>
          <w:kern w:val="2"/>
          <w:sz w:val="32"/>
          <w:szCs w:val="32"/>
          <w:lang w:val="en-US" w:eastAsia="zh-CN" w:bidi="ar-SA"/>
        </w:rPr>
        <w:t>粉尘</w:t>
      </w:r>
      <w:r>
        <w:rPr>
          <w:rFonts w:hint="eastAsia" w:ascii="Times New Roman" w:hAnsi="Times New Roman" w:eastAsia="仿宋_GB2312" w:cs="仿宋"/>
          <w:kern w:val="2"/>
          <w:sz w:val="32"/>
          <w:szCs w:val="32"/>
          <w:lang w:val="en-US" w:eastAsia="zh-CN" w:bidi="ar-SA"/>
        </w:rPr>
        <w:t>由集气罩收集经</w:t>
      </w:r>
      <w:r>
        <w:rPr>
          <w:rFonts w:hint="eastAsia" w:cs="仿宋"/>
          <w:kern w:val="2"/>
          <w:sz w:val="32"/>
          <w:szCs w:val="32"/>
          <w:lang w:val="en-US" w:eastAsia="zh-CN" w:bidi="ar-SA"/>
        </w:rPr>
        <w:t>袋式除尘器</w:t>
      </w:r>
      <w:r>
        <w:rPr>
          <w:rFonts w:hint="eastAsia" w:ascii="Times New Roman" w:hAnsi="Times New Roman" w:eastAsia="仿宋_GB2312" w:cs="仿宋"/>
          <w:kern w:val="2"/>
          <w:sz w:val="32"/>
          <w:szCs w:val="32"/>
          <w:lang w:val="en-US" w:eastAsia="zh-CN" w:bidi="ar-SA"/>
        </w:rPr>
        <w:t>处理后，</w:t>
      </w:r>
      <w:r>
        <w:rPr>
          <w:rFonts w:hint="eastAsia" w:ascii="仿宋_GB2312" w:hAnsi="仿宋" w:eastAsia="仿宋_GB2312"/>
          <w:kern w:val="2"/>
          <w:sz w:val="32"/>
          <w:szCs w:val="32"/>
          <w:lang w:val="en-US" w:eastAsia="zh-CN" w:bidi="ar-SA"/>
        </w:rPr>
        <w:t>通过一根</w:t>
      </w:r>
      <w:r>
        <w:rPr>
          <w:rFonts w:hint="eastAsia" w:ascii="仿宋_GB2312" w:hAnsi="仿宋"/>
          <w:kern w:val="2"/>
          <w:sz w:val="32"/>
          <w:szCs w:val="32"/>
          <w:lang w:val="en-US" w:eastAsia="zh-CN" w:bidi="ar-SA"/>
        </w:rPr>
        <w:t>15</w:t>
      </w:r>
      <w:r>
        <w:rPr>
          <w:rFonts w:hint="eastAsia" w:ascii="仿宋_GB2312" w:hAnsi="仿宋" w:eastAsia="仿宋_GB2312"/>
          <w:kern w:val="2"/>
          <w:sz w:val="32"/>
          <w:szCs w:val="32"/>
          <w:lang w:val="en-US" w:eastAsia="zh-CN" w:bidi="ar-SA"/>
        </w:rPr>
        <w:t>m高DA001排气筒排放，其</w:t>
      </w:r>
      <w:r>
        <w:rPr>
          <w:rFonts w:hint="eastAsia" w:ascii="仿宋_GB2312" w:hAnsi="仿宋"/>
          <w:kern w:val="2"/>
          <w:sz w:val="32"/>
          <w:szCs w:val="32"/>
          <w:lang w:val="en-US" w:eastAsia="zh-CN" w:bidi="ar-SA"/>
        </w:rPr>
        <w:t>颗粒物</w:t>
      </w:r>
      <w:r>
        <w:rPr>
          <w:rFonts w:hint="eastAsia" w:ascii="仿宋_GB2312" w:hAnsi="仿宋" w:eastAsia="仿宋_GB2312"/>
          <w:kern w:val="2"/>
          <w:sz w:val="32"/>
          <w:szCs w:val="32"/>
          <w:lang w:val="en-US" w:eastAsia="zh-CN" w:bidi="ar-SA"/>
        </w:rPr>
        <w:t>排放应执行《合成树脂工业污染物排放标准》（GB31572-2015，含2024年修改单）表4标准限值；热塑、制膜、吹膜</w:t>
      </w:r>
      <w:r>
        <w:rPr>
          <w:rFonts w:hint="eastAsia" w:ascii="仿宋_GB2312" w:hAnsi="仿宋"/>
          <w:kern w:val="2"/>
          <w:sz w:val="32"/>
          <w:szCs w:val="32"/>
          <w:lang w:val="en-US" w:eastAsia="zh-CN" w:bidi="ar-SA"/>
        </w:rPr>
        <w:t>工序产生的废气，分别</w:t>
      </w:r>
      <w:r>
        <w:rPr>
          <w:rFonts w:hint="eastAsia" w:ascii="Times New Roman" w:hAnsi="Times New Roman" w:eastAsia="仿宋_GB2312" w:cs="仿宋"/>
          <w:kern w:val="2"/>
          <w:sz w:val="32"/>
          <w:szCs w:val="32"/>
          <w:lang w:val="en-US" w:eastAsia="zh-CN" w:bidi="ar-SA"/>
        </w:rPr>
        <w:t>由集气罩收集</w:t>
      </w:r>
      <w:r>
        <w:rPr>
          <w:rFonts w:hint="eastAsia" w:cs="仿宋"/>
          <w:kern w:val="2"/>
          <w:sz w:val="32"/>
          <w:szCs w:val="32"/>
          <w:lang w:val="en-US" w:eastAsia="zh-CN" w:bidi="ar-SA"/>
        </w:rPr>
        <w:t>后</w:t>
      </w:r>
      <w:r>
        <w:rPr>
          <w:rFonts w:hint="eastAsia" w:ascii="Times New Roman" w:hAnsi="Times New Roman" w:eastAsia="仿宋_GB2312" w:cs="仿宋"/>
          <w:kern w:val="2"/>
          <w:sz w:val="32"/>
          <w:szCs w:val="32"/>
          <w:lang w:val="en-US" w:eastAsia="zh-CN" w:bidi="ar-SA"/>
        </w:rPr>
        <w:t>经</w:t>
      </w:r>
      <w:r>
        <w:rPr>
          <w:rFonts w:hint="eastAsia" w:cs="仿宋"/>
          <w:kern w:val="2"/>
          <w:sz w:val="32"/>
          <w:szCs w:val="32"/>
          <w:lang w:val="en-US" w:eastAsia="zh-CN" w:bidi="ar-SA"/>
        </w:rPr>
        <w:t>二级</w:t>
      </w:r>
      <w:r>
        <w:rPr>
          <w:rFonts w:hint="eastAsia" w:ascii="Times New Roman" w:hAnsi="Times New Roman" w:cs="仿宋"/>
          <w:kern w:val="2"/>
          <w:sz w:val="32"/>
          <w:szCs w:val="32"/>
          <w:lang w:val="en-US" w:eastAsia="zh-CN" w:bidi="ar-SA"/>
        </w:rPr>
        <w:t>活性炭吸附装置</w:t>
      </w:r>
      <w:r>
        <w:rPr>
          <w:rFonts w:hint="eastAsia" w:ascii="Times New Roman" w:hAnsi="Times New Roman" w:eastAsia="仿宋_GB2312" w:cs="仿宋"/>
          <w:kern w:val="2"/>
          <w:sz w:val="32"/>
          <w:szCs w:val="32"/>
          <w:lang w:val="en-US" w:eastAsia="zh-CN" w:bidi="ar-SA"/>
        </w:rPr>
        <w:t>处理后，</w:t>
      </w:r>
      <w:r>
        <w:rPr>
          <w:rFonts w:hint="eastAsia" w:ascii="仿宋_GB2312" w:hAnsi="仿宋" w:eastAsia="仿宋_GB2312"/>
          <w:kern w:val="2"/>
          <w:sz w:val="32"/>
          <w:szCs w:val="32"/>
          <w:lang w:val="en-US" w:eastAsia="zh-CN" w:bidi="ar-SA"/>
        </w:rPr>
        <w:t>通过</w:t>
      </w:r>
      <w:r>
        <w:rPr>
          <w:rFonts w:hint="eastAsia" w:ascii="仿宋_GB2312" w:hAnsi="仿宋"/>
          <w:kern w:val="2"/>
          <w:sz w:val="32"/>
          <w:szCs w:val="32"/>
          <w:lang w:val="en-US" w:eastAsia="zh-CN" w:bidi="ar-SA"/>
        </w:rPr>
        <w:t>15</w:t>
      </w:r>
      <w:r>
        <w:rPr>
          <w:rFonts w:hint="eastAsia" w:ascii="仿宋_GB2312" w:hAnsi="仿宋" w:eastAsia="仿宋_GB2312"/>
          <w:kern w:val="2"/>
          <w:sz w:val="32"/>
          <w:szCs w:val="32"/>
          <w:lang w:val="en-US" w:eastAsia="zh-CN" w:bidi="ar-SA"/>
        </w:rPr>
        <w:t>m</w:t>
      </w:r>
      <w:r>
        <w:rPr>
          <w:rFonts w:hint="eastAsia" w:ascii="仿宋_GB2312" w:hAnsi="仿宋"/>
          <w:kern w:val="2"/>
          <w:sz w:val="32"/>
          <w:szCs w:val="32"/>
          <w:lang w:val="en-US" w:eastAsia="zh-CN" w:bidi="ar-SA"/>
        </w:rPr>
        <w:t>高</w:t>
      </w:r>
      <w:r>
        <w:rPr>
          <w:rFonts w:hint="eastAsia" w:ascii="仿宋_GB2312" w:hAnsi="仿宋" w:eastAsia="仿宋_GB2312"/>
          <w:kern w:val="2"/>
          <w:sz w:val="32"/>
          <w:szCs w:val="32"/>
          <w:lang w:val="en-US" w:eastAsia="zh-CN" w:bidi="ar-SA"/>
        </w:rPr>
        <w:t>DA002排气筒、DA003排气筒、DA006排气筒、DA007排气筒排放</w:t>
      </w:r>
      <w:r>
        <w:rPr>
          <w:rFonts w:hint="eastAsia" w:ascii="仿宋_GB2312" w:hAnsi="仿宋"/>
          <w:kern w:val="2"/>
          <w:sz w:val="32"/>
          <w:szCs w:val="32"/>
          <w:lang w:val="en-US" w:eastAsia="zh-CN" w:bidi="ar-SA"/>
        </w:rPr>
        <w:t>，其非甲烷总烃排放应执行《合成树脂工业污染物排放标准》（GB 31572-2015，含2024年修改单）表4标准限值，臭气浓度应执行《恶臭污染物排放标准》（GB14554-93）中表2标准限值；印刷工序产生的废气分别由集气罩收集后经二级</w:t>
      </w:r>
      <w:r>
        <w:rPr>
          <w:rFonts w:hint="eastAsia" w:ascii="Times New Roman" w:hAnsi="Times New Roman" w:cs="仿宋"/>
          <w:kern w:val="2"/>
          <w:sz w:val="32"/>
          <w:szCs w:val="32"/>
          <w:lang w:val="en-US" w:eastAsia="zh-CN" w:bidi="ar-SA"/>
        </w:rPr>
        <w:t>活性炭吸附装置</w:t>
      </w:r>
      <w:r>
        <w:rPr>
          <w:rFonts w:hint="eastAsia" w:ascii="Times New Roman" w:hAnsi="Times New Roman" w:eastAsia="仿宋_GB2312" w:cs="仿宋"/>
          <w:kern w:val="2"/>
          <w:sz w:val="32"/>
          <w:szCs w:val="32"/>
          <w:lang w:val="en-US" w:eastAsia="zh-CN" w:bidi="ar-SA"/>
        </w:rPr>
        <w:t>处理后</w:t>
      </w:r>
      <w:r>
        <w:rPr>
          <w:rFonts w:hint="eastAsia" w:cs="仿宋"/>
          <w:kern w:val="2"/>
          <w:sz w:val="32"/>
          <w:szCs w:val="32"/>
          <w:lang w:val="en-US" w:eastAsia="zh-CN" w:bidi="ar-SA"/>
        </w:rPr>
        <w:t>，通过</w:t>
      </w:r>
      <w:r>
        <w:rPr>
          <w:rFonts w:hint="eastAsia" w:ascii="仿宋_GB2312" w:hAnsi="仿宋"/>
          <w:kern w:val="2"/>
          <w:sz w:val="32"/>
          <w:szCs w:val="32"/>
          <w:lang w:val="en-US" w:eastAsia="zh-CN" w:bidi="ar-SA"/>
        </w:rPr>
        <w:t>15</w:t>
      </w:r>
      <w:r>
        <w:rPr>
          <w:rFonts w:hint="eastAsia" w:ascii="仿宋_GB2312" w:hAnsi="仿宋" w:eastAsia="仿宋_GB2312"/>
          <w:kern w:val="2"/>
          <w:sz w:val="32"/>
          <w:szCs w:val="32"/>
          <w:lang w:val="en-US" w:eastAsia="zh-CN" w:bidi="ar-SA"/>
        </w:rPr>
        <w:t>m高DA00</w:t>
      </w:r>
      <w:r>
        <w:rPr>
          <w:rFonts w:hint="eastAsia" w:ascii="仿宋_GB2312" w:hAnsi="仿宋"/>
          <w:kern w:val="2"/>
          <w:sz w:val="32"/>
          <w:szCs w:val="32"/>
          <w:lang w:val="en-US" w:eastAsia="zh-CN" w:bidi="ar-SA"/>
        </w:rPr>
        <w:t>4</w:t>
      </w:r>
      <w:r>
        <w:rPr>
          <w:rFonts w:hint="eastAsia" w:ascii="仿宋_GB2312" w:hAnsi="仿宋" w:eastAsia="仿宋_GB2312"/>
          <w:kern w:val="2"/>
          <w:sz w:val="32"/>
          <w:szCs w:val="32"/>
          <w:lang w:val="en-US" w:eastAsia="zh-CN" w:bidi="ar-SA"/>
        </w:rPr>
        <w:t>排气筒</w:t>
      </w:r>
      <w:r>
        <w:rPr>
          <w:rFonts w:hint="eastAsia" w:ascii="仿宋_GB2312" w:hAnsi="仿宋"/>
          <w:kern w:val="2"/>
          <w:sz w:val="32"/>
          <w:szCs w:val="32"/>
          <w:lang w:val="en-US" w:eastAsia="zh-CN" w:bidi="ar-SA"/>
        </w:rPr>
        <w:t>、</w:t>
      </w:r>
      <w:r>
        <w:rPr>
          <w:rFonts w:hint="eastAsia" w:ascii="仿宋_GB2312" w:hAnsi="仿宋" w:eastAsia="仿宋_GB2312"/>
          <w:kern w:val="2"/>
          <w:sz w:val="32"/>
          <w:szCs w:val="32"/>
          <w:lang w:val="en-US" w:eastAsia="zh-CN" w:bidi="ar-SA"/>
        </w:rPr>
        <w:t>DA00</w:t>
      </w:r>
      <w:r>
        <w:rPr>
          <w:rFonts w:hint="eastAsia" w:ascii="仿宋_GB2312" w:hAnsi="仿宋"/>
          <w:kern w:val="2"/>
          <w:sz w:val="32"/>
          <w:szCs w:val="32"/>
          <w:lang w:val="en-US" w:eastAsia="zh-CN" w:bidi="ar-SA"/>
        </w:rPr>
        <w:t>5</w:t>
      </w:r>
      <w:r>
        <w:rPr>
          <w:rFonts w:hint="eastAsia" w:ascii="仿宋_GB2312" w:hAnsi="仿宋" w:eastAsia="仿宋_GB2312"/>
          <w:kern w:val="2"/>
          <w:sz w:val="32"/>
          <w:szCs w:val="32"/>
          <w:lang w:val="en-US" w:eastAsia="zh-CN" w:bidi="ar-SA"/>
        </w:rPr>
        <w:t>排气筒排放</w:t>
      </w:r>
      <w:r>
        <w:rPr>
          <w:rFonts w:hint="eastAsia" w:ascii="仿宋_GB2312" w:hAnsi="仿宋"/>
          <w:kern w:val="2"/>
          <w:sz w:val="32"/>
          <w:szCs w:val="32"/>
          <w:lang w:val="en-US" w:eastAsia="zh-CN" w:bidi="ar-SA"/>
        </w:rPr>
        <w:t>，其</w:t>
      </w:r>
      <w:r>
        <w:rPr>
          <w:rFonts w:hint="eastAsia" w:ascii="仿宋_GB2312" w:hAnsi="仿宋" w:cs="仿宋"/>
          <w:color w:val="auto"/>
          <w:sz w:val="32"/>
          <w:szCs w:val="32"/>
          <w:shd w:val="clear" w:color="auto" w:fill="FFFFFF"/>
          <w:lang w:val="en-US" w:eastAsia="zh-CN"/>
        </w:rPr>
        <w:t>非甲烷总烃排放应执行《印刷行业挥发性有机物排放标准》（DB35/1784-2018）表1标准</w:t>
      </w:r>
      <w:r>
        <w:rPr>
          <w:rFonts w:hint="eastAsia" w:ascii="仿宋_GB2312" w:hAnsi="仿宋" w:cs="仿宋"/>
          <w:kern w:val="2"/>
          <w:sz w:val="32"/>
          <w:szCs w:val="32"/>
          <w:shd w:val="clear" w:color="auto" w:fill="FFFFFF"/>
          <w:lang w:val="en-US" w:eastAsia="zh-CN" w:bidi="ar"/>
        </w:rPr>
        <w:t>；污水处理站废气负压收集，经活性炭吸附装置处理后，通过一根15m高DA008排气筒排放，其</w:t>
      </w:r>
      <w:r>
        <w:rPr>
          <w:rFonts w:hint="eastAsia" w:ascii="仿宋_GB2312" w:hAnsi="仿宋" w:cs="仿宋"/>
          <w:color w:val="auto"/>
          <w:sz w:val="32"/>
          <w:szCs w:val="32"/>
          <w:shd w:val="clear" w:color="auto" w:fill="FFFFFF"/>
          <w:lang w:val="en-US" w:eastAsia="zh-CN"/>
        </w:rPr>
        <w:t>臭气浓度、氨、硫化氢</w:t>
      </w:r>
      <w:r>
        <w:rPr>
          <w:rFonts w:hint="eastAsia" w:ascii="仿宋_GB2312" w:hAnsi="仿宋" w:cs="仿宋"/>
          <w:kern w:val="2"/>
          <w:sz w:val="32"/>
          <w:szCs w:val="32"/>
          <w:shd w:val="clear" w:color="auto" w:fill="FFFFFF"/>
          <w:lang w:val="en-US" w:eastAsia="zh-CN" w:bidi="ar"/>
        </w:rPr>
        <w:t>排放应执行《恶臭污染物排放标准》（GB14554-93）中</w:t>
      </w:r>
      <w:r>
        <w:rPr>
          <w:rFonts w:hint="eastAsia" w:ascii="仿宋_GB2312" w:hAnsi="仿宋"/>
          <w:kern w:val="2"/>
          <w:sz w:val="32"/>
          <w:szCs w:val="32"/>
          <w:lang w:val="en-US" w:eastAsia="zh-CN" w:bidi="ar-SA"/>
        </w:rPr>
        <w:t>表2标准限值</w:t>
      </w:r>
      <w:r>
        <w:rPr>
          <w:rFonts w:hint="eastAsia" w:ascii="仿宋_GB2312" w:hAnsi="仿宋" w:cs="仿宋"/>
          <w:kern w:val="2"/>
          <w:sz w:val="32"/>
          <w:szCs w:val="32"/>
          <w:shd w:val="clear" w:color="auto" w:fill="FFFFFF"/>
          <w:lang w:val="en-US" w:eastAsia="zh-CN" w:bidi="ar"/>
        </w:rPr>
        <w:t>。</w:t>
      </w:r>
    </w:p>
    <w:p>
      <w:pPr>
        <w:keepNext w:val="0"/>
        <w:keepLines w:val="0"/>
        <w:pageBreakBefore w:val="0"/>
        <w:widowControl w:val="0"/>
        <w:kinsoku/>
        <w:overflowPunct/>
        <w:topLinePunct w:val="0"/>
        <w:autoSpaceDN/>
        <w:bidi w:val="0"/>
        <w:adjustRightInd/>
        <w:snapToGrid/>
        <w:spacing w:line="540" w:lineRule="exact"/>
        <w:ind w:firstLine="640" w:firstLineChars="200"/>
        <w:jc w:val="both"/>
        <w:textAlignment w:val="auto"/>
        <w:rPr>
          <w:rFonts w:hint="eastAsia" w:ascii="仿宋_GB2312" w:hAnsi="仿宋" w:cs="仿宋"/>
          <w:color w:val="auto"/>
          <w:sz w:val="32"/>
          <w:szCs w:val="32"/>
          <w:shd w:val="clear" w:color="auto" w:fill="FFFFFF"/>
          <w:lang w:eastAsia="zh-CN"/>
        </w:rPr>
      </w:pPr>
      <w:r>
        <w:rPr>
          <w:rFonts w:hint="eastAsia" w:ascii="仿宋_GB2312" w:hAnsi="仿宋" w:cs="仿宋"/>
          <w:color w:val="auto"/>
          <w:sz w:val="32"/>
          <w:szCs w:val="32"/>
          <w:shd w:val="clear" w:color="auto" w:fill="FFFFFF"/>
          <w:lang w:val="en-US" w:eastAsia="zh-CN"/>
        </w:rPr>
        <w:t>厂界非甲烷总烃无组织排放应执行《印刷行业挥发性有机物排放标准》（DB35/1784-2018）表3标准；</w:t>
      </w:r>
      <w:r>
        <w:rPr>
          <w:rFonts w:hint="eastAsia" w:ascii="仿宋_GB2312" w:hAnsi="仿宋" w:cs="仿宋"/>
          <w:kern w:val="2"/>
          <w:sz w:val="32"/>
          <w:szCs w:val="32"/>
          <w:shd w:val="clear" w:color="auto" w:fill="FFFFFF"/>
          <w:lang w:val="en-US" w:eastAsia="zh-CN" w:bidi="ar"/>
        </w:rPr>
        <w:t>厂界</w:t>
      </w:r>
      <w:r>
        <w:rPr>
          <w:rFonts w:hint="eastAsia" w:ascii="仿宋_GB2312" w:hAnsi="仿宋" w:cs="仿宋"/>
          <w:color w:val="auto"/>
          <w:sz w:val="32"/>
          <w:szCs w:val="32"/>
          <w:shd w:val="clear" w:color="auto" w:fill="FFFFFF"/>
          <w:lang w:val="en-US" w:eastAsia="zh-CN"/>
        </w:rPr>
        <w:t>颗粒物无组织执行《合成树脂工业污染物排放标准》（GB 31572-2015，含2024年修改单）表9标准限值；厂界无组织臭气浓度、氨、硫化氢应执行《恶臭污染物排放标准》（GB14554-93）表1限值。厂区内非甲烷总烃监控点处1h平均浓度值应执行DB35/1784-2018表2标准；任意一次浓度值应执行《挥发性有机物无组织排放控制标准》（GB 37822-2019）附录A表A.1标准限值。</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 w:cs="仿宋"/>
          <w:color w:val="auto"/>
          <w:sz w:val="32"/>
          <w:szCs w:val="32"/>
          <w:shd w:val="clear" w:color="auto" w:fill="FFFFFF"/>
          <w:lang w:eastAsia="zh-CN"/>
        </w:rPr>
      </w:pPr>
      <w:r>
        <w:rPr>
          <w:rFonts w:hint="eastAsia" w:ascii="仿宋_GB2312" w:hAnsi="仿宋" w:cs="仿宋"/>
          <w:color w:val="auto"/>
          <w:sz w:val="32"/>
          <w:szCs w:val="32"/>
          <w:shd w:val="clear" w:color="auto" w:fill="FFFFFF"/>
          <w:lang w:eastAsia="zh-CN"/>
        </w:rPr>
        <w:t>3.噪声源应采取切实有效的隔音、减振措施,项目厂界噪声执行《工业企业厂界环境噪声排放标准》（GB12348-2008）的</w:t>
      </w:r>
      <w:r>
        <w:rPr>
          <w:rFonts w:hint="eastAsia" w:ascii="仿宋_GB2312" w:hAnsi="仿宋" w:cs="仿宋"/>
          <w:color w:val="auto"/>
          <w:sz w:val="32"/>
          <w:szCs w:val="32"/>
          <w:shd w:val="clear" w:color="auto" w:fill="FFFFFF"/>
          <w:lang w:val="en-US" w:eastAsia="zh-CN"/>
        </w:rPr>
        <w:t>3</w:t>
      </w:r>
      <w:r>
        <w:rPr>
          <w:rFonts w:hint="eastAsia" w:ascii="仿宋_GB2312" w:hAnsi="仿宋" w:cs="仿宋"/>
          <w:color w:val="auto"/>
          <w:sz w:val="32"/>
          <w:szCs w:val="32"/>
          <w:shd w:val="clear" w:color="auto" w:fill="FFFFFF"/>
          <w:lang w:eastAsia="zh-CN"/>
        </w:rPr>
        <w:t>类标准，即昼间≤6</w:t>
      </w:r>
      <w:r>
        <w:rPr>
          <w:rFonts w:hint="eastAsia" w:ascii="仿宋_GB2312" w:hAnsi="仿宋" w:cs="仿宋"/>
          <w:color w:val="auto"/>
          <w:sz w:val="32"/>
          <w:szCs w:val="32"/>
          <w:shd w:val="clear" w:color="auto" w:fill="FFFFFF"/>
          <w:lang w:val="en-US" w:eastAsia="zh-CN"/>
        </w:rPr>
        <w:t>5</w:t>
      </w:r>
      <w:r>
        <w:rPr>
          <w:rFonts w:hint="eastAsia" w:ascii="仿宋_GB2312" w:hAnsi="仿宋" w:cs="仿宋"/>
          <w:color w:val="auto"/>
          <w:sz w:val="32"/>
          <w:szCs w:val="32"/>
          <w:shd w:val="clear" w:color="auto" w:fill="FFFFFF"/>
          <w:lang w:eastAsia="zh-CN"/>
        </w:rPr>
        <w:t>dB(A)、夜间≤5</w:t>
      </w:r>
      <w:r>
        <w:rPr>
          <w:rFonts w:hint="eastAsia" w:ascii="仿宋_GB2312" w:hAnsi="仿宋" w:cs="仿宋"/>
          <w:color w:val="auto"/>
          <w:sz w:val="32"/>
          <w:szCs w:val="32"/>
          <w:shd w:val="clear" w:color="auto" w:fill="FFFFFF"/>
          <w:lang w:val="en-US" w:eastAsia="zh-CN"/>
        </w:rPr>
        <w:t>5</w:t>
      </w:r>
      <w:r>
        <w:rPr>
          <w:rFonts w:hint="eastAsia" w:ascii="仿宋_GB2312" w:hAnsi="仿宋" w:cs="仿宋"/>
          <w:color w:val="auto"/>
          <w:sz w:val="32"/>
          <w:szCs w:val="32"/>
          <w:shd w:val="clear" w:color="auto" w:fill="FFFFFF"/>
          <w:lang w:eastAsia="zh-CN"/>
        </w:rPr>
        <w:t>dB(A)。</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 w:cs="仿宋"/>
          <w:color w:val="auto"/>
          <w:sz w:val="32"/>
          <w:szCs w:val="32"/>
          <w:shd w:val="clear" w:color="auto" w:fill="FFFFFF"/>
          <w:lang w:eastAsia="zh-CN"/>
        </w:rPr>
      </w:pPr>
      <w:r>
        <w:rPr>
          <w:rFonts w:hint="eastAsia" w:ascii="仿宋_GB2312" w:hAnsi="仿宋" w:cs="仿宋"/>
          <w:color w:val="auto"/>
          <w:sz w:val="32"/>
          <w:szCs w:val="32"/>
          <w:shd w:val="clear" w:color="auto" w:fill="FFFFFF"/>
          <w:lang w:eastAsia="zh-CN"/>
        </w:rPr>
        <w:t>4.</w:t>
      </w:r>
      <w:r>
        <w:rPr>
          <w:rFonts w:hint="eastAsia"/>
          <w:color w:val="auto"/>
          <w:szCs w:val="21"/>
          <w:lang w:val="zh-CN"/>
        </w:rPr>
        <w:t>废活性炭</w:t>
      </w:r>
      <w:r>
        <w:rPr>
          <w:rFonts w:hint="eastAsia"/>
          <w:color w:val="auto"/>
          <w:szCs w:val="21"/>
          <w:lang w:eastAsia="zh-CN"/>
        </w:rPr>
        <w:t>、</w:t>
      </w:r>
      <w:r>
        <w:rPr>
          <w:rFonts w:hint="eastAsia"/>
          <w:color w:val="auto"/>
          <w:szCs w:val="21"/>
          <w:lang w:val="en-US" w:eastAsia="zh-CN"/>
        </w:rPr>
        <w:t>废油墨、高浓度废水</w:t>
      </w:r>
      <w:r>
        <w:rPr>
          <w:rFonts w:hint="eastAsia" w:ascii="仿宋_GB2312" w:hAnsi="仿宋" w:cs="仿宋"/>
          <w:color w:val="auto"/>
          <w:sz w:val="32"/>
          <w:szCs w:val="32"/>
          <w:shd w:val="clear" w:color="auto" w:fill="FFFFFF"/>
          <w:lang w:val="en-US" w:eastAsia="zh-CN"/>
        </w:rPr>
        <w:t>等危险废物应严格按照</w:t>
      </w:r>
      <w:r>
        <w:rPr>
          <w:rFonts w:hint="default" w:ascii="仿宋_GB2312" w:hAnsi="仿宋" w:cs="仿宋"/>
          <w:color w:val="auto"/>
          <w:sz w:val="32"/>
          <w:szCs w:val="32"/>
          <w:shd w:val="clear" w:color="auto" w:fill="FFFFFF"/>
          <w:lang w:eastAsia="zh-CN"/>
        </w:rPr>
        <w:t>《危险废物贮存污染控制标准》（GB18597-2023）</w:t>
      </w:r>
      <w:r>
        <w:rPr>
          <w:rFonts w:hint="eastAsia" w:ascii="仿宋_GB2312" w:hAnsi="仿宋" w:cs="仿宋"/>
          <w:color w:val="auto"/>
          <w:sz w:val="32"/>
          <w:szCs w:val="32"/>
          <w:shd w:val="clear" w:color="auto" w:fill="FFFFFF"/>
          <w:lang w:val="en-US" w:eastAsia="zh-CN"/>
        </w:rPr>
        <w:t>中相关要求，按规范设置贮存场所并委托有资质单位处置；塑料边角料、废包装袋、污泥等一般</w:t>
      </w:r>
      <w:r>
        <w:rPr>
          <w:rFonts w:hint="eastAsia" w:ascii="仿宋_GB2312" w:hAnsi="仿宋" w:cs="仿宋"/>
          <w:color w:val="auto"/>
          <w:sz w:val="32"/>
          <w:szCs w:val="32"/>
          <w:shd w:val="clear" w:color="auto" w:fill="FFFFFF"/>
          <w:lang w:eastAsia="zh-CN"/>
        </w:rPr>
        <w:t>工业固废应</w:t>
      </w:r>
      <w:r>
        <w:rPr>
          <w:rFonts w:hint="eastAsia" w:ascii="仿宋_GB2312" w:hAnsi="仿宋" w:cs="仿宋"/>
          <w:color w:val="auto"/>
          <w:sz w:val="32"/>
          <w:szCs w:val="32"/>
          <w:shd w:val="clear" w:color="auto" w:fill="FFFFFF"/>
          <w:lang w:val="en-US" w:eastAsia="zh-CN"/>
        </w:rPr>
        <w:t>分类</w:t>
      </w:r>
      <w:r>
        <w:rPr>
          <w:rFonts w:hint="eastAsia" w:ascii="仿宋_GB2312" w:hAnsi="仿宋" w:cs="仿宋"/>
          <w:color w:val="auto"/>
          <w:sz w:val="32"/>
          <w:szCs w:val="32"/>
          <w:shd w:val="clear" w:color="auto" w:fill="FFFFFF"/>
          <w:lang w:eastAsia="zh-CN"/>
        </w:rPr>
        <w:t>收集后外售给相关单位综合利用；</w:t>
      </w:r>
      <w:r>
        <w:rPr>
          <w:rFonts w:hint="eastAsia" w:ascii="仿宋_GB2312" w:hAnsi="仿宋" w:cs="仿宋"/>
          <w:color w:val="auto"/>
          <w:sz w:val="32"/>
          <w:szCs w:val="32"/>
          <w:shd w:val="clear" w:color="auto" w:fill="FFFFFF"/>
          <w:lang w:val="en-US" w:eastAsia="zh-CN"/>
        </w:rPr>
        <w:t>原料空桶</w:t>
      </w:r>
      <w:r>
        <w:rPr>
          <w:rFonts w:hint="default" w:ascii="仿宋_GB2312" w:hAnsi="仿宋" w:cs="仿宋"/>
          <w:color w:val="auto"/>
          <w:sz w:val="32"/>
          <w:szCs w:val="32"/>
          <w:shd w:val="clear" w:color="auto" w:fill="FFFFFF"/>
          <w:lang w:eastAsia="zh-CN"/>
        </w:rPr>
        <w:t>按危废管理要求暂存于危废暂存间内，定期由厂家回收利用</w:t>
      </w:r>
      <w:r>
        <w:rPr>
          <w:rFonts w:hint="eastAsia" w:ascii="仿宋_GB2312" w:hAnsi="仿宋" w:cs="仿宋"/>
          <w:color w:val="auto"/>
          <w:sz w:val="32"/>
          <w:szCs w:val="32"/>
          <w:shd w:val="clear" w:color="auto" w:fill="FFFFFF"/>
          <w:lang w:eastAsia="zh-CN"/>
        </w:rPr>
        <w:t>；生活垃圾集中收集后应由环卫部门统一清运。</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项目主要污染物排放总量控制指标：</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both"/>
        <w:textAlignment w:val="auto"/>
        <w:rPr>
          <w:rFonts w:hint="eastAsia" w:ascii="仿宋_GB2312" w:hAnsi="仿宋" w:cs="仿宋"/>
          <w:color w:val="auto"/>
          <w:kern w:val="2"/>
          <w:sz w:val="32"/>
          <w:szCs w:val="32"/>
          <w:shd w:val="clear" w:color="auto" w:fill="FFFFFF"/>
          <w:lang w:val="en-US" w:eastAsia="zh-CN" w:bidi="ar-SA"/>
        </w:rPr>
      </w:pPr>
      <w:r>
        <w:rPr>
          <w:rFonts w:hint="eastAsia" w:ascii="仿宋_GB2312" w:hAnsi="仿宋" w:cs="仿宋"/>
          <w:color w:val="auto"/>
          <w:kern w:val="2"/>
          <w:sz w:val="32"/>
          <w:szCs w:val="32"/>
          <w:shd w:val="clear" w:color="auto" w:fill="FFFFFF"/>
          <w:lang w:val="en-US" w:eastAsia="zh-CN" w:bidi="ar-SA"/>
        </w:rPr>
        <w:t>1.</w:t>
      </w:r>
      <w:r>
        <w:rPr>
          <w:rFonts w:hint="eastAsia" w:ascii="仿宋_GB2312" w:hAnsi="仿宋" w:eastAsia="仿宋_GB2312" w:cs="仿宋"/>
          <w:kern w:val="2"/>
          <w:sz w:val="32"/>
          <w:szCs w:val="32"/>
          <w:shd w:val="clear" w:color="auto" w:fill="FFFFFF"/>
          <w:lang w:val="en-US" w:eastAsia="zh-CN" w:bidi="ar"/>
        </w:rPr>
        <w:t>项目新增主要污染</w:t>
      </w:r>
      <w:r>
        <w:rPr>
          <w:rFonts w:hint="eastAsia" w:ascii="仿宋_GB2312" w:hAnsi="仿宋" w:cs="仿宋"/>
          <w:kern w:val="2"/>
          <w:sz w:val="32"/>
          <w:szCs w:val="32"/>
          <w:shd w:val="clear" w:color="auto" w:fill="FFFFFF"/>
          <w:lang w:val="en-US" w:eastAsia="zh-CN" w:bidi="ar"/>
        </w:rPr>
        <w:t>物</w:t>
      </w:r>
      <w:r>
        <w:rPr>
          <w:rFonts w:hint="eastAsia" w:ascii="仿宋_GB2312" w:hAnsi="仿宋" w:eastAsia="仿宋_GB2312" w:cs="仿宋"/>
          <w:kern w:val="2"/>
          <w:sz w:val="32"/>
          <w:szCs w:val="32"/>
          <w:shd w:val="clear" w:color="auto" w:fill="FFFFFF"/>
          <w:lang w:val="en-US" w:eastAsia="zh-CN" w:bidi="ar"/>
        </w:rPr>
        <w:t>总量指标：COD</w:t>
      </w:r>
      <w:r>
        <w:rPr>
          <w:rFonts w:hint="default" w:ascii="仿宋_GB2312" w:hAnsi="仿宋" w:eastAsia="仿宋_GB2312" w:cs="仿宋"/>
          <w:color w:val="auto"/>
          <w:kern w:val="2"/>
          <w:sz w:val="32"/>
          <w:szCs w:val="32"/>
          <w:shd w:val="clear" w:color="auto" w:fill="FFFFFF"/>
          <w:lang w:val="en-US" w:eastAsia="zh-CN" w:bidi="ar-SA"/>
        </w:rPr>
        <w:t>≤</w:t>
      </w:r>
      <w:r>
        <w:rPr>
          <w:rFonts w:hint="eastAsia" w:ascii="仿宋_GB2312" w:hAnsi="仿宋" w:eastAsia="仿宋_GB2312" w:cs="仿宋"/>
          <w:kern w:val="2"/>
          <w:sz w:val="32"/>
          <w:szCs w:val="32"/>
          <w:shd w:val="clear" w:color="auto" w:fill="FFFFFF"/>
          <w:lang w:val="en-US" w:eastAsia="zh-CN" w:bidi="ar"/>
        </w:rPr>
        <w:t>0.0334t/a，NH</w:t>
      </w:r>
      <w:r>
        <w:rPr>
          <w:rFonts w:hint="eastAsia" w:ascii="仿宋_GB2312" w:hAnsi="仿宋" w:eastAsia="仿宋_GB2312" w:cs="仿宋"/>
          <w:kern w:val="2"/>
          <w:sz w:val="32"/>
          <w:szCs w:val="32"/>
          <w:shd w:val="clear" w:color="auto" w:fill="FFFFFF"/>
          <w:vertAlign w:val="subscript"/>
          <w:lang w:val="en-US" w:eastAsia="zh-CN" w:bidi="ar"/>
        </w:rPr>
        <w:t>3</w:t>
      </w:r>
      <w:r>
        <w:rPr>
          <w:rFonts w:hint="eastAsia" w:ascii="仿宋_GB2312" w:hAnsi="仿宋" w:eastAsia="仿宋_GB2312" w:cs="仿宋"/>
          <w:kern w:val="2"/>
          <w:sz w:val="32"/>
          <w:szCs w:val="32"/>
          <w:shd w:val="clear" w:color="auto" w:fill="FFFFFF"/>
          <w:lang w:val="en-US" w:eastAsia="zh-CN" w:bidi="ar"/>
        </w:rPr>
        <w:t>-N</w:t>
      </w:r>
      <w:r>
        <w:rPr>
          <w:rFonts w:hint="default" w:ascii="仿宋_GB2312" w:hAnsi="仿宋" w:eastAsia="仿宋_GB2312" w:cs="仿宋"/>
          <w:color w:val="auto"/>
          <w:kern w:val="2"/>
          <w:sz w:val="32"/>
          <w:szCs w:val="32"/>
          <w:shd w:val="clear" w:color="auto" w:fill="FFFFFF"/>
          <w:lang w:val="en-US" w:eastAsia="zh-CN" w:bidi="ar-SA"/>
        </w:rPr>
        <w:t>≤</w:t>
      </w:r>
      <w:r>
        <w:rPr>
          <w:rFonts w:hint="eastAsia" w:ascii="仿宋_GB2312" w:hAnsi="仿宋" w:eastAsia="仿宋_GB2312" w:cs="仿宋"/>
          <w:kern w:val="2"/>
          <w:sz w:val="32"/>
          <w:szCs w:val="32"/>
          <w:shd w:val="clear" w:color="auto" w:fill="FFFFFF"/>
          <w:lang w:val="en-US" w:eastAsia="zh-CN" w:bidi="ar"/>
        </w:rPr>
        <w:t>0.0033t/a，你公司应按照闽环发〔2018〕26号文件要求及承诺，在按规定程序依法取得新增污染物排污权指标前，项目不得投入生产。</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default" w:ascii="仿宋_GB2312" w:hAnsi="仿宋" w:eastAsia="仿宋_GB2312" w:cs="仿宋"/>
          <w:color w:val="auto"/>
          <w:kern w:val="2"/>
          <w:sz w:val="32"/>
          <w:szCs w:val="32"/>
          <w:shd w:val="clear" w:color="auto" w:fill="FFFFFF"/>
          <w:lang w:val="en-US" w:eastAsia="zh-CN" w:bidi="ar-SA"/>
        </w:rPr>
      </w:pPr>
      <w:r>
        <w:rPr>
          <w:rFonts w:hint="eastAsia" w:ascii="仿宋_GB2312" w:hAnsi="仿宋" w:cs="仿宋"/>
          <w:color w:val="auto"/>
          <w:kern w:val="2"/>
          <w:sz w:val="32"/>
          <w:szCs w:val="32"/>
          <w:shd w:val="clear" w:color="auto" w:fill="FFFFFF"/>
          <w:lang w:val="en-US" w:eastAsia="zh-CN" w:bidi="ar-SA"/>
        </w:rPr>
        <w:t>2.</w:t>
      </w:r>
      <w:r>
        <w:rPr>
          <w:rFonts w:hint="default" w:ascii="仿宋_GB2312" w:hAnsi="仿宋" w:eastAsia="仿宋_GB2312" w:cs="仿宋"/>
          <w:color w:val="auto"/>
          <w:kern w:val="2"/>
          <w:sz w:val="32"/>
          <w:szCs w:val="32"/>
          <w:shd w:val="clear" w:color="auto" w:fill="FFFFFF"/>
          <w:lang w:val="en-US" w:eastAsia="zh-CN" w:bidi="ar-SA"/>
        </w:rPr>
        <w:t>项目新增VOCs排放量</w:t>
      </w:r>
      <w:r>
        <w:rPr>
          <w:rFonts w:hint="eastAsia" w:ascii="仿宋_GB2312" w:hAnsi="仿宋" w:cs="仿宋"/>
          <w:color w:val="auto"/>
          <w:kern w:val="2"/>
          <w:sz w:val="32"/>
          <w:szCs w:val="32"/>
          <w:shd w:val="clear" w:color="auto" w:fill="FFFFFF"/>
          <w:lang w:val="en-US" w:eastAsia="zh-CN" w:bidi="ar-SA"/>
        </w:rPr>
        <w:t>4.296</w:t>
      </w:r>
      <w:r>
        <w:rPr>
          <w:rFonts w:hint="default" w:ascii="仿宋_GB2312" w:hAnsi="仿宋" w:eastAsia="仿宋_GB2312" w:cs="仿宋"/>
          <w:color w:val="auto"/>
          <w:kern w:val="2"/>
          <w:sz w:val="32"/>
          <w:szCs w:val="32"/>
          <w:shd w:val="clear" w:color="auto" w:fill="FFFFFF"/>
          <w:lang w:val="en-US" w:eastAsia="zh-CN" w:bidi="ar-SA"/>
        </w:rPr>
        <w:t>t/a，在惠安区域内执行1.2倍量削减替代（即</w:t>
      </w:r>
      <w:r>
        <w:rPr>
          <w:rFonts w:hint="eastAsia" w:ascii="仿宋_GB2312" w:hAnsi="仿宋" w:cs="仿宋"/>
          <w:color w:val="auto"/>
          <w:kern w:val="2"/>
          <w:sz w:val="32"/>
          <w:szCs w:val="32"/>
          <w:shd w:val="clear" w:color="auto" w:fill="FFFFFF"/>
          <w:lang w:val="en-US" w:eastAsia="zh-CN" w:bidi="ar-SA"/>
        </w:rPr>
        <w:t>5.1552</w:t>
      </w:r>
      <w:r>
        <w:rPr>
          <w:rFonts w:hint="default" w:ascii="仿宋_GB2312" w:hAnsi="仿宋" w:eastAsia="仿宋_GB2312" w:cs="仿宋"/>
          <w:color w:val="auto"/>
          <w:kern w:val="2"/>
          <w:sz w:val="32"/>
          <w:szCs w:val="32"/>
          <w:shd w:val="clear" w:color="auto" w:fill="FFFFFF"/>
          <w:lang w:val="en-US" w:eastAsia="zh-CN" w:bidi="ar-SA"/>
        </w:rPr>
        <w:t>t/a）</w:t>
      </w:r>
      <w:r>
        <w:rPr>
          <w:rFonts w:hint="eastAsia" w:ascii="仿宋_GB2312" w:hAnsi="仿宋" w:eastAsia="仿宋_GB2312" w:cs="仿宋"/>
          <w:color w:val="auto"/>
          <w:kern w:val="2"/>
          <w:sz w:val="32"/>
          <w:szCs w:val="32"/>
          <w:shd w:val="clear" w:color="auto" w:fill="FFFFFF"/>
          <w:lang w:val="en-US" w:eastAsia="zh-CN" w:bidi="ar-SA"/>
        </w:rPr>
        <w:t>。</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 xml:space="preserve">、你公司应严格执行建设项目环保“三同时”制度，项目竣工后，按照国务院生态环境行政主管部门规定的标准和程序，对项目开展竣工环保验收。验收过程不得弄虚作假，并依法向社会公开验收报告。 </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五、你公司应按照《排污许可管理条例》规定，</w:t>
      </w:r>
      <w:r>
        <w:rPr>
          <w:rFonts w:hint="eastAsia" w:ascii="仿宋_GB2312" w:hAnsi="仿宋_GB2312" w:eastAsia="仿宋_GB2312" w:cs="仿宋_GB2312"/>
          <w:kern w:val="2"/>
          <w:sz w:val="32"/>
          <w:szCs w:val="32"/>
          <w:shd w:val="clear" w:color="auto" w:fill="FFFFFF"/>
          <w:lang w:val="en-US" w:eastAsia="zh-CN" w:bidi="ar-SA"/>
        </w:rPr>
        <w:t>及时</w:t>
      </w:r>
      <w:r>
        <w:rPr>
          <w:rFonts w:hint="eastAsia" w:ascii="仿宋_GB2312" w:hAnsi="仿宋_GB2312" w:cs="仿宋_GB2312"/>
          <w:kern w:val="2"/>
          <w:sz w:val="32"/>
          <w:szCs w:val="32"/>
          <w:shd w:val="clear" w:color="auto" w:fill="FFFFFF"/>
          <w:lang w:val="en-US" w:eastAsia="zh-CN" w:bidi="ar-SA"/>
        </w:rPr>
        <w:t>申领排污许可证，按证排污</w:t>
      </w:r>
      <w:r>
        <w:rPr>
          <w:rFonts w:hint="eastAsia" w:ascii="仿宋_GB2312" w:hAnsi="仿宋_GB2312" w:eastAsia="仿宋_GB2312" w:cs="仿宋_GB2312"/>
          <w:kern w:val="2"/>
          <w:sz w:val="32"/>
          <w:szCs w:val="32"/>
          <w:shd w:val="clear" w:color="auto" w:fill="FFFFFF"/>
          <w:lang w:val="en-US" w:eastAsia="zh-CN" w:bidi="ar-SA"/>
        </w:rPr>
        <w:t>。</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六、该项目环境影响报告表批复后，若工程建设的性质、规模、地点、采用的生产工艺或防治污染的措施等发生重大变动，应依法重新办理环境影响评价审批手续。</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七、我局委托泉州市惠安生态环境保护综合执法大队按全链条环境监管要求，做好该项目环保“三同时”监督抽查工作。</w:t>
      </w:r>
    </w:p>
    <w:p>
      <w:pPr>
        <w:keepNext w:val="0"/>
        <w:keepLines w:val="0"/>
        <w:pageBreakBefore w:val="0"/>
        <w:widowControl w:val="0"/>
        <w:kinsoku/>
        <w:overflowPunct/>
        <w:topLinePunct w:val="0"/>
        <w:autoSpaceDN/>
        <w:bidi w:val="0"/>
        <w:adjustRightInd/>
        <w:snapToGrid/>
        <w:spacing w:line="540" w:lineRule="exact"/>
        <w:ind w:right="-32" w:rightChars="-1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overflowPunct/>
        <w:topLinePunct w:val="0"/>
        <w:autoSpaceDN/>
        <w:bidi w:val="0"/>
        <w:adjustRightInd/>
        <w:snapToGrid/>
        <w:spacing w:line="540" w:lineRule="exact"/>
        <w:ind w:right="-32" w:rightChars="-1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N/>
        <w:bidi w:val="0"/>
        <w:adjustRightInd/>
        <w:snapToGrid/>
        <w:spacing w:line="540" w:lineRule="exact"/>
        <w:ind w:right="-32" w:rightChars="-10"/>
        <w:jc w:val="center"/>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泉州市生态环境局 </w:t>
      </w: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bookmarkStart w:id="0" w:name="_GoBack"/>
      <w:bookmarkEnd w:id="0"/>
    </w:p>
    <w:p>
      <w:pPr>
        <w:keepNext w:val="0"/>
        <w:keepLines w:val="0"/>
        <w:pageBreakBefore w:val="0"/>
        <w:widowControl w:val="0"/>
        <w:kinsoku/>
        <w:overflowPunct/>
        <w:topLinePunct w:val="0"/>
        <w:autoSpaceDN/>
        <w:bidi w:val="0"/>
        <w:adjustRightInd/>
        <w:snapToGrid/>
        <w:spacing w:line="540" w:lineRule="exact"/>
        <w:jc w:val="right"/>
        <w:textAlignment w:val="auto"/>
        <w:rPr>
          <w:rFonts w:hint="eastAsia" w:ascii="仿宋_GB2312" w:hAnsi="仿宋" w:cs="仿宋"/>
          <w:color w:val="FF0000"/>
          <w:sz w:val="84"/>
          <w:szCs w:val="84"/>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744" w:hanging="744" w:hangingChars="300"/>
        <w:textAlignment w:val="auto"/>
        <w:rPr>
          <w:rFonts w:hint="eastAsia" w:ascii="仿宋_GB2312" w:hAnsi="仿宋"/>
          <w:spacing w:val="-16"/>
          <w:sz w:val="24"/>
          <w:szCs w:val="24"/>
          <w:lang w:eastAsia="zh-CN"/>
        </w:rPr>
      </w:pPr>
      <w:r>
        <w:rPr>
          <w:rFonts w:hint="eastAsia" w:ascii="仿宋_GB2312"/>
          <w:spacing w:val="-16"/>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598805</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47.15pt;height:0.05pt;width:437.05pt;z-index:251659264;mso-width-relative:page;mso-height-relative:page;" filled="f" stroked="t" coordsize="21600,21600" o:gfxdata="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MSfmjUAAAABgEAAA8AAAAAAAAAAQAgAAAAOAAAAGRy&#10;cy9kb3ducmV2LnhtbFBLAQIUABQAAAAIAIdO4kAFBbs+8wEAAOYDAAAOAAAAAAAAAAEAIAAAADkB&#10;AABkcnMvZTJvRG9jLnhtbFBLBQYAAAAABgAGAFkBAACeBQAAAAA=&#10;">
                <v:fill on="f" focussize="0,0"/>
                <v:stroke color="#000000" joinstyle="round"/>
                <v:imagedata o:title=""/>
                <o:lock v:ext="edit" aspectratio="f"/>
              </v:line>
            </w:pict>
          </mc:Fallback>
        </mc:AlternateContent>
      </w:r>
      <w:r>
        <w:rPr>
          <w:rFonts w:hint="eastAsia" w:ascii="仿宋_GB2312" w:hAnsi="仿宋"/>
          <w:spacing w:val="-16"/>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18415</wp:posOffset>
                </wp:positionV>
                <wp:extent cx="5541645" cy="10160"/>
                <wp:effectExtent l="0" t="4445" r="1905" b="13970"/>
                <wp:wrapNone/>
                <wp:docPr id="2" name="直接连接符 2"/>
                <wp:cNvGraphicFramePr/>
                <a:graphic xmlns:a="http://schemas.openxmlformats.org/drawingml/2006/main">
                  <a:graphicData uri="http://schemas.microsoft.com/office/word/2010/wordprocessingShape">
                    <wps:wsp>
                      <wps:cNvCnPr/>
                      <wps:spPr>
                        <a:xfrm>
                          <a:off x="0" y="0"/>
                          <a:ext cx="554164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45pt;height:0.8pt;width:436.35pt;z-index:251660288;mso-width-relative:page;mso-height-relative:page;" filled="f" stroked="t" coordsize="21600,21600" o:gfxdata="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1XoG61QAAAAUBAAAPAAAAAAAAAAEAIAAA&#10;ADgAAABkcnMvZG93bnJldi54bWxQSwECFAAUAAAACACHTuJABIgZjvkBAADoAwAADgAAAAAAAAAB&#10;ACAAAAA6AQAAZHJzL2Uyb0RvYy54bWxQSwUGAAAAAAYABgBZAQAApQUAAAAA&#10;">
                <v:fill on="f" focussize="0,0"/>
                <v:stroke color="#000000" joinstyle="round"/>
                <v:imagedata o:title=""/>
                <o:lock v:ext="edit" aspectratio="f"/>
              </v:line>
            </w:pict>
          </mc:Fallback>
        </mc:AlternateContent>
      </w:r>
      <w:r>
        <w:rPr>
          <w:rFonts w:hint="eastAsia" w:ascii="仿宋_GB2312" w:hAnsi="仿宋"/>
          <w:spacing w:val="-16"/>
          <w:sz w:val="28"/>
          <w:szCs w:val="28"/>
          <w:lang w:eastAsia="zh-CN"/>
        </w:rPr>
        <w:t>抄送：</w:t>
      </w:r>
      <w:r>
        <w:rPr>
          <w:rFonts w:hint="eastAsia" w:ascii="仿宋_GB2312" w:hAnsi="仿宋"/>
          <w:spacing w:val="-16"/>
          <w:sz w:val="28"/>
          <w:szCs w:val="28"/>
          <w:lang w:val="en-US" w:eastAsia="zh-CN"/>
        </w:rPr>
        <w:t>惠安经济开发区管委会</w:t>
      </w:r>
      <w:r>
        <w:rPr>
          <w:rFonts w:hint="eastAsia" w:ascii="仿宋_GB2312" w:hAnsi="仿宋"/>
          <w:spacing w:val="-16"/>
          <w:sz w:val="28"/>
          <w:szCs w:val="28"/>
          <w:lang w:eastAsia="zh-CN"/>
        </w:rPr>
        <w:t>，泉州市惠安生态环境保护综合执法大队，福建省裕丰环保科技有限公司。</w:t>
      </w:r>
    </w:p>
    <w:sectPr>
      <w:headerReference r:id="rId3" w:type="default"/>
      <w:footerReference r:id="rId4" w:type="default"/>
      <w:footerReference r:id="rId5" w:type="even"/>
      <w:pgSz w:w="11907" w:h="16840"/>
      <w:pgMar w:top="1701" w:right="1588" w:bottom="1418" w:left="1588" w:header="851" w:footer="851"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hint="eastAsia" w:ascii="宋体" w:hAnsi="宋体" w:eastAsia="宋体"/>
        <w:sz w:val="28"/>
        <w:szCs w:val="28"/>
        <w:lang w:eastAsia="zh-CN"/>
      </w:rPr>
    </w:pPr>
    <w:r>
      <w:rPr>
        <w:rFonts w:ascii="宋体" w:hAnsi="宋体" w:eastAsia="宋体"/>
        <w:sz w:val="28"/>
        <w:szCs w:val="28"/>
      </w:rPr>
      <w:fldChar w:fldCharType="begin"/>
    </w:r>
    <w:r>
      <w:rPr>
        <w:rStyle w:val="9"/>
        <w:rFonts w:ascii="宋体" w:hAnsi="宋体" w:eastAsia="宋体"/>
        <w:sz w:val="28"/>
        <w:szCs w:val="28"/>
      </w:rPr>
      <w:instrText xml:space="preserve"> PAGE </w:instrText>
    </w:r>
    <w:r>
      <w:rPr>
        <w:rFonts w:ascii="宋体" w:hAnsi="宋体" w:eastAsia="宋体"/>
        <w:sz w:val="28"/>
        <w:szCs w:val="28"/>
      </w:rPr>
      <w:fldChar w:fldCharType="separate"/>
    </w:r>
    <w:r>
      <w:rPr>
        <w:rStyle w:val="9"/>
        <w:rFonts w:ascii="宋体" w:hAnsi="宋体" w:eastAsia="宋体"/>
        <w:sz w:val="28"/>
        <w:szCs w:val="28"/>
      </w:rPr>
      <w:t>- 1 -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 PAGE </w:instrText>
    </w:r>
    <w:r>
      <w:rPr>
        <w:rFonts w:ascii="宋体" w:hAnsi="宋体" w:eastAsia="宋体"/>
        <w:sz w:val="28"/>
        <w:szCs w:val="28"/>
      </w:rPr>
      <w:fldChar w:fldCharType="separate"/>
    </w:r>
    <w:r>
      <w:rPr>
        <w:rStyle w:val="9"/>
        <w:rFonts w:ascii="宋体" w:hAnsi="宋体" w:eastAsia="宋体"/>
        <w:sz w:val="28"/>
        <w:szCs w:val="28"/>
      </w:rPr>
      <w:t>- 6 -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73079"/>
    <w:multiLevelType w:val="singleLevel"/>
    <w:tmpl w:val="6847307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WZjYjlhNDBkMDQwOWVhZGNlMWVjYzYzZGMzYTkifQ=="/>
  </w:docVars>
  <w:rsids>
    <w:rsidRoot w:val="00172A27"/>
    <w:rsid w:val="0E2B4468"/>
    <w:rsid w:val="0EB75826"/>
    <w:rsid w:val="0FFD57CA"/>
    <w:rsid w:val="176461FD"/>
    <w:rsid w:val="205C13D9"/>
    <w:rsid w:val="2ABB3FA0"/>
    <w:rsid w:val="2D7673B7"/>
    <w:rsid w:val="2DBC18AC"/>
    <w:rsid w:val="2E8833C6"/>
    <w:rsid w:val="305F6110"/>
    <w:rsid w:val="38BA5B86"/>
    <w:rsid w:val="3A5D3F40"/>
    <w:rsid w:val="3BFAA1E6"/>
    <w:rsid w:val="3F81DBB6"/>
    <w:rsid w:val="3FB83765"/>
    <w:rsid w:val="5B4A0AD9"/>
    <w:rsid w:val="64BF1959"/>
    <w:rsid w:val="68DA0E95"/>
    <w:rsid w:val="6BF6A200"/>
    <w:rsid w:val="6C790EFF"/>
    <w:rsid w:val="6C8C514C"/>
    <w:rsid w:val="7EFE2B19"/>
    <w:rsid w:val="7FBB1F1C"/>
    <w:rsid w:val="7FF7C82E"/>
    <w:rsid w:val="BEFEB88D"/>
    <w:rsid w:val="C6366123"/>
    <w:rsid w:val="D95F803B"/>
    <w:rsid w:val="DCB06DFA"/>
    <w:rsid w:val="DE7CD602"/>
    <w:rsid w:val="EBE3C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32"/>
      <w:lang w:val="en-US" w:eastAsia="ar-SA"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napToGrid w:val="0"/>
      <w:spacing w:before="60" w:beforeLines="0" w:after="160" w:afterLines="0" w:line="259" w:lineRule="auto"/>
      <w:ind w:right="113"/>
    </w:pPr>
    <w:rPr>
      <w:rFonts w:hint="default"/>
      <w:sz w:val="18"/>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封面表格"/>
    <w:next w:val="11"/>
    <w:qFormat/>
    <w:uiPriority w:val="0"/>
    <w:pPr>
      <w:adjustRightInd w:val="0"/>
      <w:snapToGrid w:val="0"/>
      <w:jc w:val="center"/>
    </w:pPr>
    <w:rPr>
      <w:rFonts w:ascii="宋体" w:hAnsi="Times New Roman" w:eastAsia="仿宋_GB2312" w:cs="宋体"/>
      <w:color w:val="000000"/>
      <w:sz w:val="36"/>
      <w:szCs w:val="36"/>
      <w:lang w:val="en-US" w:eastAsia="zh-CN" w:bidi="ar-SA"/>
    </w:rPr>
  </w:style>
  <w:style w:type="paragraph" w:customStyle="1" w:styleId="11">
    <w:name w:val="封面底标"/>
    <w:qFormat/>
    <w:uiPriority w:val="0"/>
    <w:pPr>
      <w:adjustRightInd w:val="0"/>
      <w:snapToGrid w:val="0"/>
      <w:jc w:val="center"/>
    </w:pPr>
    <w:rPr>
      <w:rFonts w:ascii="Times New Roman" w:hAnsi="Times New Roman"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1700</Words>
  <Characters>1995</Characters>
  <Lines>0</Lines>
  <Paragraphs>0</Paragraphs>
  <TotalTime>41</TotalTime>
  <ScaleCrop>false</ScaleCrop>
  <LinksUpToDate>false</LinksUpToDate>
  <CharactersWithSpaces>2074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2024-09-04T16:36:00Z</dcterms:created>
  <dc:creator>Queen</dc:creator>
  <cp:lastModifiedBy>admin</cp:lastModifiedBy>
  <cp:lastPrinted>2024-12-20T09:51:17Z</cp:lastPrinted>
  <dcterms:modified xsi:type="dcterms:W3CDTF">2024-12-20T09:54:00Z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898EE315ED994C13A490E00069555D9F_13</vt:lpwstr>
  </property>
</Properties>
</file>