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5334">
      <w:pPr>
        <w:jc w:val="center"/>
        <w:rPr>
          <w:rFonts w:hint="eastAsia" w:ascii="Times New Roman" w:hAnsi="Times New Roman" w:eastAsia="宋体" w:cs="Times New Roman"/>
          <w:b/>
          <w:color w:val="000000"/>
          <w:sz w:val="52"/>
          <w:szCs w:val="52"/>
          <w:lang w:eastAsia="zh-CN"/>
        </w:rPr>
        <w:sectPr>
          <w:headerReference r:id="rId5" w:type="default"/>
          <w:footerReference r:id="rId6" w:type="default"/>
          <w:pgSz w:w="23760" w:h="16781" w:orient="landscape"/>
          <w:pgMar w:top="1417" w:right="1134" w:bottom="1134" w:left="1134" w:header="567" w:footer="567" w:gutter="0"/>
          <w:pgBorders>
            <w:top w:val="none" w:sz="0" w:space="0"/>
            <w:left w:val="none" w:sz="0" w:space="0"/>
            <w:bottom w:val="none" w:sz="0" w:space="0"/>
            <w:right w:val="none" w:sz="0" w:space="0"/>
          </w:pgBorders>
          <w:pgNumType w:start="1"/>
          <w:cols w:space="720" w:num="1"/>
          <w:rtlGutter w:val="0"/>
          <w:docGrid w:linePitch="326" w:charSpace="0"/>
        </w:sectPr>
      </w:pPr>
    </w:p>
    <w:p w14:paraId="07F9F2EC">
      <w:pPr>
        <w:jc w:val="center"/>
        <w:rPr>
          <w:rFonts w:hint="default" w:ascii="Times New Roman" w:hAnsi="Times New Roman" w:eastAsia="宋体" w:cs="Times New Roman"/>
          <w:b/>
          <w:color w:val="000000"/>
          <w:sz w:val="52"/>
          <w:szCs w:val="52"/>
        </w:rPr>
      </w:pPr>
    </w:p>
    <w:p w14:paraId="056497AA">
      <w:pPr>
        <w:jc w:val="center"/>
        <w:rPr>
          <w:rFonts w:hint="eastAsia" w:ascii="Times New Roman" w:hAnsi="Times New Roman" w:eastAsia="宋体" w:cs="Times New Roman"/>
          <w:b/>
          <w:color w:val="000000"/>
          <w:sz w:val="52"/>
          <w:szCs w:val="52"/>
          <w:lang w:eastAsia="zh-CN"/>
        </w:rPr>
      </w:pPr>
    </w:p>
    <w:p w14:paraId="259FA04C">
      <w:pPr>
        <w:jc w:val="center"/>
        <w:rPr>
          <w:rFonts w:hint="default" w:ascii="Times New Roman" w:hAnsi="Times New Roman" w:eastAsia="宋体" w:cs="Times New Roman"/>
          <w:b/>
          <w:color w:val="000000"/>
          <w:sz w:val="52"/>
          <w:szCs w:val="52"/>
        </w:rPr>
      </w:pPr>
    </w:p>
    <w:p w14:paraId="04E643B7">
      <w:pPr>
        <w:jc w:val="center"/>
        <w:rPr>
          <w:rFonts w:hint="default" w:ascii="Times New Roman" w:hAnsi="Times New Roman" w:eastAsia="宋体" w:cs="Times New Roman"/>
          <w:b/>
          <w:color w:val="000000"/>
          <w:sz w:val="52"/>
          <w:szCs w:val="52"/>
        </w:rPr>
      </w:pPr>
    </w:p>
    <w:p w14:paraId="737B82F9">
      <w:pPr>
        <w:jc w:val="center"/>
        <w:rPr>
          <w:rFonts w:hint="default" w:ascii="Times New Roman" w:hAnsi="Times New Roman" w:eastAsia="宋体" w:cs="Times New Roman"/>
          <w:b/>
          <w:color w:val="000000"/>
          <w:sz w:val="52"/>
          <w:szCs w:val="52"/>
        </w:rPr>
      </w:pPr>
    </w:p>
    <w:p w14:paraId="33A086F3">
      <w:pPr>
        <w:jc w:val="center"/>
        <w:rPr>
          <w:rFonts w:hint="default" w:ascii="Times New Roman" w:hAnsi="Times New Roman" w:eastAsia="宋体" w:cs="Times New Roman"/>
          <w:b/>
          <w:color w:val="000000"/>
          <w:sz w:val="52"/>
          <w:szCs w:val="52"/>
        </w:rPr>
      </w:pPr>
    </w:p>
    <w:p w14:paraId="4E10CF32">
      <w:pPr>
        <w:jc w:val="center"/>
        <w:rPr>
          <w:rFonts w:hint="default" w:ascii="Times New Roman" w:hAnsi="Times New Roman" w:eastAsia="宋体" w:cs="Times New Roman"/>
          <w:b/>
          <w:color w:val="000000"/>
          <w:sz w:val="52"/>
          <w:szCs w:val="52"/>
        </w:rPr>
      </w:pPr>
    </w:p>
    <w:p w14:paraId="610AE71F">
      <w:pPr>
        <w:jc w:val="center"/>
        <w:rPr>
          <w:rFonts w:hint="default" w:ascii="Times New Roman" w:hAnsi="Times New Roman" w:eastAsia="宋体" w:cs="Times New Roman"/>
          <w:b/>
          <w:color w:val="000000"/>
          <w:sz w:val="52"/>
          <w:szCs w:val="52"/>
        </w:rPr>
      </w:pPr>
    </w:p>
    <w:p w14:paraId="31DB3049">
      <w:pPr>
        <w:jc w:val="center"/>
        <w:rPr>
          <w:rFonts w:hint="default" w:ascii="Times New Roman" w:hAnsi="Times New Roman" w:eastAsia="宋体" w:cs="Times New Roman"/>
          <w:b/>
          <w:color w:val="000000"/>
          <w:sz w:val="52"/>
          <w:szCs w:val="52"/>
        </w:rPr>
      </w:pPr>
    </w:p>
    <w:p w14:paraId="4AEB5294">
      <w:pPr>
        <w:jc w:val="center"/>
        <w:rPr>
          <w:rFonts w:hint="default" w:ascii="Times New Roman" w:hAnsi="Times New Roman" w:eastAsia="宋体" w:cs="Times New Roman"/>
          <w:b/>
          <w:color w:val="000000"/>
          <w:sz w:val="52"/>
          <w:szCs w:val="52"/>
        </w:rPr>
      </w:pPr>
    </w:p>
    <w:p w14:paraId="27BED1B6">
      <w:pPr>
        <w:jc w:val="center"/>
        <w:rPr>
          <w:rFonts w:hint="eastAsia" w:ascii="Times New Roman" w:hAnsi="Times New Roman" w:eastAsia="宋体" w:cs="Times New Roman"/>
          <w:b/>
          <w:color w:val="000000"/>
          <w:sz w:val="52"/>
          <w:szCs w:val="52"/>
          <w:lang w:eastAsia="zh-CN"/>
        </w:rPr>
      </w:pPr>
    </w:p>
    <w:p w14:paraId="4C34F105">
      <w:pPr>
        <w:jc w:val="center"/>
        <w:rPr>
          <w:rFonts w:hint="default" w:ascii="Times New Roman" w:hAnsi="Times New Roman" w:eastAsia="宋体" w:cs="Times New Roman"/>
          <w:b/>
          <w:color w:val="000000"/>
          <w:sz w:val="52"/>
          <w:szCs w:val="52"/>
        </w:rPr>
      </w:pPr>
    </w:p>
    <w:p w14:paraId="1B9E801B">
      <w:pPr>
        <w:jc w:val="center"/>
        <w:rPr>
          <w:rFonts w:hint="default" w:ascii="Times New Roman" w:hAnsi="Times New Roman" w:eastAsia="宋体" w:cs="Times New Roman"/>
          <w:b/>
          <w:color w:val="000000"/>
          <w:sz w:val="52"/>
          <w:szCs w:val="52"/>
        </w:rPr>
      </w:pPr>
    </w:p>
    <w:p w14:paraId="7168E16F">
      <w:pPr>
        <w:jc w:val="center"/>
        <w:rPr>
          <w:rFonts w:hint="default" w:ascii="Times New Roman" w:hAnsi="Times New Roman" w:eastAsia="宋体" w:cs="Times New Roman"/>
          <w:b/>
          <w:color w:val="000000"/>
          <w:sz w:val="52"/>
          <w:szCs w:val="52"/>
        </w:rPr>
      </w:pPr>
    </w:p>
    <w:p w14:paraId="177814A7">
      <w:pPr>
        <w:jc w:val="center"/>
        <w:rPr>
          <w:rFonts w:hint="default" w:ascii="Times New Roman" w:hAnsi="Times New Roman" w:eastAsia="宋体" w:cs="Times New Roman"/>
          <w:b/>
          <w:color w:val="000000"/>
          <w:sz w:val="52"/>
          <w:szCs w:val="52"/>
        </w:rPr>
      </w:pPr>
    </w:p>
    <w:p w14:paraId="24A4A2F0">
      <w:pPr>
        <w:adjustRightInd w:val="0"/>
        <w:snapToGrid w:val="0"/>
        <w:jc w:val="center"/>
        <w:outlineLvl w:val="0"/>
        <w:rPr>
          <w:rFonts w:hint="eastAsia" w:ascii="方正小标宋_GBK" w:eastAsia="方正小标宋_GBK"/>
          <w:bCs/>
          <w:color w:val="000000"/>
          <w:sz w:val="72"/>
          <w:szCs w:val="72"/>
        </w:rPr>
      </w:pPr>
      <w:r>
        <w:rPr>
          <w:rFonts w:hint="eastAsia" w:ascii="方正小标宋_GBK" w:eastAsia="方正小标宋_GBK"/>
          <w:bCs/>
          <w:color w:val="000000"/>
          <w:sz w:val="72"/>
          <w:szCs w:val="72"/>
        </w:rPr>
        <w:t>建设项目环境影响报告表</w:t>
      </w:r>
    </w:p>
    <w:p w14:paraId="7E53D6F7">
      <w:pPr>
        <w:jc w:val="center"/>
        <w:rPr>
          <w:rFonts w:hint="default" w:ascii="Times New Roman" w:hAnsi="Times New Roman" w:eastAsia="宋体" w:cs="Times New Roman"/>
          <w:color w:val="000000"/>
          <w:sz w:val="28"/>
          <w:szCs w:val="28"/>
        </w:rPr>
      </w:pPr>
      <w:r>
        <w:rPr>
          <w:rFonts w:hint="eastAsia" w:ascii="楷体_GB2312" w:eastAsia="楷体_GB2312"/>
          <w:bCs/>
          <w:color w:val="000000"/>
          <w:sz w:val="48"/>
          <w:szCs w:val="48"/>
        </w:rPr>
        <w:t>（污染影响类）</w:t>
      </w:r>
    </w:p>
    <w:p w14:paraId="27D4D40E">
      <w:pPr>
        <w:rPr>
          <w:rFonts w:hint="default" w:ascii="Times New Roman" w:hAnsi="Times New Roman" w:eastAsia="宋体" w:cs="Times New Roman"/>
          <w:color w:val="000000"/>
          <w:sz w:val="30"/>
        </w:rPr>
      </w:pPr>
      <w:r>
        <w:rPr>
          <w:rFonts w:hint="default" w:ascii="Times New Roman" w:hAnsi="Times New Roman" w:eastAsia="宋体" w:cs="Times New Roman"/>
          <w:color w:val="000000"/>
          <w:sz w:val="30"/>
        </w:rPr>
        <mc:AlternateContent>
          <mc:Choice Requires="wps">
            <w:drawing>
              <wp:anchor distT="0" distB="0" distL="114300" distR="114300" simplePos="0" relativeHeight="251659264" behindDoc="0" locked="0" layoutInCell="1" allowOverlap="1">
                <wp:simplePos x="0" y="0"/>
                <wp:positionH relativeFrom="column">
                  <wp:posOffset>1796415</wp:posOffset>
                </wp:positionH>
                <wp:positionV relativeFrom="paragraph">
                  <wp:posOffset>163830</wp:posOffset>
                </wp:positionV>
                <wp:extent cx="3131185" cy="400050"/>
                <wp:effectExtent l="4445" t="4445" r="7620" b="14605"/>
                <wp:wrapNone/>
                <wp:docPr id="50" name="文本框 50"/>
                <wp:cNvGraphicFramePr/>
                <a:graphic xmlns:a="http://schemas.openxmlformats.org/drawingml/2006/main">
                  <a:graphicData uri="http://schemas.microsoft.com/office/word/2010/wordprocessingShape">
                    <wps:wsp>
                      <wps:cNvSpPr txBox="1"/>
                      <wps:spPr>
                        <a:xfrm>
                          <a:off x="9474835" y="3402330"/>
                          <a:ext cx="3131185" cy="400050"/>
                        </a:xfrm>
                        <a:prstGeom prst="rect">
                          <a:avLst/>
                        </a:prstGeom>
                        <a:noFill/>
                        <a:ln w="6350">
                          <a:solidFill>
                            <a:prstClr val="black"/>
                          </a:solidFill>
                        </a:ln>
                        <a:effectLst/>
                      </wps:spPr>
                      <wps:txbx>
                        <w:txbxContent>
                          <w:p w14:paraId="556E481B">
                            <w:pPr>
                              <w:spacing w:line="240" w:lineRule="auto"/>
                              <w:ind w:firstLine="0" w:firstLineChars="0"/>
                              <w:jc w:val="center"/>
                              <w:rPr>
                                <w:rFonts w:hint="eastAsia" w:ascii="Calibri" w:hAnsi="Calibri" w:cs="Times New Roman"/>
                                <w:sz w:val="28"/>
                                <w:szCs w:val="28"/>
                                <w:lang w:eastAsia="zh-CN"/>
                              </w:rPr>
                            </w:pPr>
                            <w:r>
                              <w:rPr>
                                <w:rFonts w:hint="eastAsia" w:ascii="Calibri" w:hAnsi="Calibri" w:cs="Times New Roman"/>
                                <w:sz w:val="28"/>
                                <w:szCs w:val="28"/>
                                <w:lang w:eastAsia="zh-CN"/>
                              </w:rPr>
                              <w:t>仅供生态环境主管部门信息公开使用</w:t>
                            </w:r>
                          </w:p>
                          <w:p w14:paraId="54AB8ABF">
                            <w:pPr>
                              <w:spacing w:line="240" w:lineRule="auto"/>
                              <w:ind w:firstLine="0" w:firstLineChars="0"/>
                              <w:jc w:val="center"/>
                              <w:rPr>
                                <w:rFonts w:ascii="Calibri" w:hAnsi="Calibri" w:cs="Times New Roman"/>
                                <w:sz w:val="21"/>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45pt;margin-top:12.9pt;height:31.5pt;width:246.55pt;z-index:251659264;mso-width-relative:page;mso-height-relative:page;" filled="f" stroked="t" coordsize="21600,21600" o:gfxdata="UEsDBAoAAAAAAIdO4kAAAAAAAAAAAAAAAAAEAAAAZHJzL1BLAwQUAAAACACHTuJAuSQy89kAAAAJ&#10;AQAADwAAAGRycy9kb3ducmV2LnhtbE2Py07DMBBF90j8gzVI7KjdSG1MiNMFogskhERBlKUTD3GE&#10;HyF208LXM6xgN6M5unNuvTl5x2ac0hCDguVCAMPQRTOEXsHL8/ZKAktZB6NdDKjgCxNsmvOzWlcm&#10;HsMTzrvcMwoJqdIKbM5jxXnqLHqdFnHEQLf3OHmdaZ16biZ9pHDveCHEmns9BPpg9Yi3FruP3cEr&#10;eHjdf95tH9/EHls3rGZX2vvvVqnLi6W4AZbxlP9g+NUndWjIqY2HYBJzCgpZXBNKw4oqEFCWayrX&#10;KpBSAm9q/r9B8wNQSwMEFAAAAAgAh07iQDaKKj1jAgAAqgQAAA4AAABkcnMvZTJvRG9jLnhtbK1U&#10;S27bMBDdF+gdCO4bSZbyMyIHboIUBYImQFp0TVNUJJS/krSl9ADNDbrqpvueK+fooyQnRtpFFt3Q&#10;M5znN5w3Mzo57ZUkG+F8a3RJs72UEqG5qVp9W9JPHy/eHFHiA9MVk0aLkt4JT08Xr1+ddHYuZqYx&#10;shKOgET7eWdL2oRg50nieSMU83vGCo1gbZxiAa67TSrHOrArmczS9CDpjKusM1x4j9vzMUgnRvcS&#10;QlPXLRfnhq+V0GFkdUKygJJ801pPF8Nr61rwcFXXXgQiS4pKw3AiCexVPJPFCZvfOmablk9PYC95&#10;wrOaFGs1kj5SnbPAyNq1f1GpljvjTR32uFHJWMigCKrI0mfa3DTMiqEWSO3to+j+/9HyD5trR9qq&#10;pPuQRDOFjj/8uH/4+fvh13eCOwjUWT8H7sYCGfq3psfYbO89LmPdfe1U/EVFBPHj4rA4yvcpuStp&#10;XqSzPJ+kFn0gHIA8y7PsCAAORJGm6ZgqeWKyzod3wigSjZI6tHJQmG0ufcCrAN1CYmJtLloph3ZK&#10;TbqSHuSgjBFvZFvFYHTiX86kIxuGgVhJxr/ESsC1g4IndQSLYYCmdFGFsdpohX7VT9KsTHUHZZwZ&#10;h8tbftEiyyXz4Zo5TBOExb6FKxy1NHiamSxKGuO+/es+4tFkRCnpMJ0l9V/XzAlK5HuN9h9nRRHH&#10;eXCK/cMZHLcbWe1G9FqdGdSbYbMtH8yID3Jr1s6oz1jLZcyKENMcuUsatuZZGHcGa83FcjmAMMCW&#10;hUt9Y3mkHpuwXAdTt0N/okyjNhA4OhjhQepp3eKO7PoD6ukTs/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SQy89kAAAAJAQAADwAAAAAAAAABACAAAAAiAAAAZHJzL2Rvd25yZXYueG1sUEsBAhQA&#10;FAAAAAgAh07iQDaKKj1jAgAAqgQAAA4AAAAAAAAAAQAgAAAAKAEAAGRycy9lMm9Eb2MueG1sUEsF&#10;BgAAAAAGAAYAWQEAAP0FAAAAAA==&#10;">
                <v:fill on="f" focussize="0,0"/>
                <v:stroke weight="0.5pt" color="#000000" joinstyle="round"/>
                <v:imagedata o:title=""/>
                <o:lock v:ext="edit" aspectratio="f"/>
                <v:textbox>
                  <w:txbxContent>
                    <w:p w14:paraId="556E481B">
                      <w:pPr>
                        <w:spacing w:line="240" w:lineRule="auto"/>
                        <w:ind w:firstLine="0" w:firstLineChars="0"/>
                        <w:jc w:val="center"/>
                        <w:rPr>
                          <w:rFonts w:hint="eastAsia" w:ascii="Calibri" w:hAnsi="Calibri" w:cs="Times New Roman"/>
                          <w:sz w:val="28"/>
                          <w:szCs w:val="28"/>
                          <w:lang w:eastAsia="zh-CN"/>
                        </w:rPr>
                      </w:pPr>
                      <w:r>
                        <w:rPr>
                          <w:rFonts w:hint="eastAsia" w:ascii="Calibri" w:hAnsi="Calibri" w:cs="Times New Roman"/>
                          <w:sz w:val="28"/>
                          <w:szCs w:val="28"/>
                          <w:lang w:eastAsia="zh-CN"/>
                        </w:rPr>
                        <w:t>仅供生态环境主管部门信息公开使用</w:t>
                      </w:r>
                    </w:p>
                    <w:p w14:paraId="54AB8ABF">
                      <w:pPr>
                        <w:spacing w:line="240" w:lineRule="auto"/>
                        <w:ind w:firstLine="0" w:firstLineChars="0"/>
                        <w:jc w:val="center"/>
                        <w:rPr>
                          <w:rFonts w:ascii="Calibri" w:hAnsi="Calibri" w:cs="Times New Roman"/>
                          <w:sz w:val="21"/>
                          <w:szCs w:val="24"/>
                        </w:rPr>
                      </w:pPr>
                    </w:p>
                  </w:txbxContent>
                </v:textbox>
              </v:shape>
            </w:pict>
          </mc:Fallback>
        </mc:AlternateContent>
      </w:r>
    </w:p>
    <w:p w14:paraId="3DDD452F">
      <w:pPr>
        <w:rPr>
          <w:rFonts w:hint="default" w:ascii="Times New Roman" w:hAnsi="Times New Roman" w:eastAsia="宋体" w:cs="Times New Roman"/>
          <w:color w:val="000000"/>
          <w:sz w:val="30"/>
        </w:rPr>
      </w:pPr>
    </w:p>
    <w:p w14:paraId="27B58ACB">
      <w:pPr>
        <w:rPr>
          <w:rFonts w:hint="default" w:ascii="Times New Roman" w:hAnsi="Times New Roman" w:eastAsia="宋体" w:cs="Times New Roman"/>
          <w:color w:val="000000"/>
          <w:sz w:val="30"/>
        </w:rPr>
      </w:pPr>
    </w:p>
    <w:p w14:paraId="325EB013">
      <w:pPr>
        <w:rPr>
          <w:rFonts w:hint="default" w:ascii="Times New Roman" w:hAnsi="Times New Roman" w:eastAsia="宋体" w:cs="Times New Roman"/>
          <w:color w:val="000000"/>
          <w:sz w:val="30"/>
        </w:rPr>
      </w:pPr>
    </w:p>
    <w:p w14:paraId="66B6A6DA">
      <w:pPr>
        <w:rPr>
          <w:rFonts w:hint="default" w:ascii="Times New Roman" w:hAnsi="Times New Roman" w:eastAsia="宋体" w:cs="Times New Roman"/>
          <w:color w:val="000000"/>
          <w:sz w:val="30"/>
        </w:rPr>
      </w:pPr>
    </w:p>
    <w:tbl>
      <w:tblPr>
        <w:tblStyle w:val="20"/>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6196"/>
      </w:tblGrid>
      <w:tr w14:paraId="1DCE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2935" w:type="dxa"/>
            <w:tcBorders>
              <w:top w:val="nil"/>
              <w:left w:val="nil"/>
              <w:bottom w:val="nil"/>
              <w:right w:val="nil"/>
            </w:tcBorders>
            <w:noWrap w:val="0"/>
            <w:vAlign w:val="center"/>
          </w:tcPr>
          <w:p w14:paraId="24495BAF">
            <w:pPr>
              <w:jc w:val="left"/>
              <w:rPr>
                <w:rFonts w:hint="eastAsia" w:ascii="仿宋" w:hAnsi="仿宋" w:eastAsia="仿宋" w:cs="仿宋"/>
                <w:color w:val="000000"/>
                <w:sz w:val="36"/>
                <w:szCs w:val="36"/>
                <w:lang w:eastAsia="zh-CN"/>
              </w:rPr>
            </w:pPr>
            <w:r>
              <w:rPr>
                <w:rFonts w:hint="eastAsia" w:ascii="仿宋" w:hAnsi="仿宋" w:eastAsia="仿宋" w:cs="仿宋"/>
                <w:color w:val="000000"/>
                <w:sz w:val="36"/>
                <w:szCs w:val="36"/>
              </w:rPr>
              <w:t>项目名称</w:t>
            </w:r>
            <w:r>
              <w:rPr>
                <w:rFonts w:hint="eastAsia" w:ascii="仿宋" w:hAnsi="仿宋" w:eastAsia="仿宋" w:cs="仿宋"/>
                <w:color w:val="000000"/>
                <w:sz w:val="36"/>
                <w:szCs w:val="36"/>
                <w:lang w:eastAsia="zh-CN"/>
              </w:rPr>
              <w:t>：</w:t>
            </w:r>
          </w:p>
        </w:tc>
        <w:tc>
          <w:tcPr>
            <w:tcW w:w="6196" w:type="dxa"/>
            <w:tcBorders>
              <w:top w:val="nil"/>
              <w:left w:val="nil"/>
              <w:bottom w:val="nil"/>
              <w:right w:val="nil"/>
            </w:tcBorders>
            <w:noWrap w:val="0"/>
            <w:vAlign w:val="center"/>
          </w:tcPr>
          <w:p w14:paraId="0849CF6C">
            <w:pPr>
              <w:spacing w:line="0" w:lineRule="atLeast"/>
              <w:jc w:val="center"/>
              <w:rPr>
                <w:rFonts w:hint="default" w:ascii="仿宋" w:hAnsi="仿宋" w:eastAsia="仿宋" w:cs="仿宋"/>
                <w:color w:val="000000"/>
                <w:w w:val="95"/>
                <w:kern w:val="0"/>
                <w:sz w:val="36"/>
                <w:szCs w:val="36"/>
                <w:lang w:val="en-US" w:eastAsia="zh-CN"/>
              </w:rPr>
            </w:pPr>
            <w:r>
              <w:rPr>
                <w:rFonts w:hint="default" w:ascii="仿宋" w:hAnsi="仿宋" w:eastAsia="仿宋" w:cs="仿宋"/>
                <w:color w:val="auto"/>
                <w:w w:val="95"/>
                <w:kern w:val="0"/>
                <w:sz w:val="36"/>
                <w:szCs w:val="36"/>
                <w:lang w:val="en-US" w:eastAsia="zh-CN"/>
              </w:rPr>
              <w:t>福建省泓瀚卫生用品有限公司经期裤、护垫、卫生巾生产项目</w:t>
            </w:r>
          </w:p>
        </w:tc>
      </w:tr>
      <w:tr w14:paraId="7537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2935" w:type="dxa"/>
            <w:tcBorders>
              <w:top w:val="nil"/>
              <w:left w:val="nil"/>
              <w:bottom w:val="nil"/>
              <w:right w:val="nil"/>
            </w:tcBorders>
            <w:noWrap w:val="0"/>
            <w:vAlign w:val="center"/>
          </w:tcPr>
          <w:p w14:paraId="4A7473AB">
            <w:pPr>
              <w:jc w:val="left"/>
              <w:rPr>
                <w:rFonts w:hint="eastAsia" w:ascii="仿宋" w:hAnsi="仿宋" w:eastAsia="仿宋" w:cs="仿宋"/>
                <w:color w:val="000000"/>
                <w:sz w:val="36"/>
                <w:szCs w:val="36"/>
                <w:lang w:eastAsia="zh-CN"/>
              </w:rPr>
            </w:pPr>
            <w:r>
              <w:rPr>
                <w:rFonts w:hint="eastAsia" w:ascii="仿宋" w:hAnsi="仿宋" w:eastAsia="仿宋" w:cs="仿宋"/>
                <w:color w:val="000000"/>
                <w:sz w:val="36"/>
                <w:szCs w:val="36"/>
              </w:rPr>
              <w:t>建设单位(盖章)</w:t>
            </w:r>
            <w:r>
              <w:rPr>
                <w:rFonts w:hint="eastAsia" w:ascii="仿宋" w:hAnsi="仿宋" w:eastAsia="仿宋" w:cs="仿宋"/>
                <w:color w:val="000000"/>
                <w:sz w:val="36"/>
                <w:szCs w:val="36"/>
                <w:lang w:eastAsia="zh-CN"/>
              </w:rPr>
              <w:t>：</w:t>
            </w:r>
          </w:p>
        </w:tc>
        <w:tc>
          <w:tcPr>
            <w:tcW w:w="6196" w:type="dxa"/>
            <w:tcBorders>
              <w:top w:val="single" w:color="auto" w:sz="6" w:space="0"/>
              <w:left w:val="nil"/>
              <w:bottom w:val="single" w:color="auto" w:sz="4" w:space="0"/>
              <w:right w:val="nil"/>
            </w:tcBorders>
            <w:noWrap w:val="0"/>
            <w:vAlign w:val="center"/>
          </w:tcPr>
          <w:p w14:paraId="1D10C686">
            <w:pPr>
              <w:spacing w:line="0" w:lineRule="atLeast"/>
              <w:jc w:val="center"/>
              <w:rPr>
                <w:rFonts w:hint="eastAsia" w:ascii="仿宋" w:hAnsi="仿宋" w:eastAsia="仿宋" w:cs="仿宋"/>
                <w:color w:val="000000"/>
                <w:w w:val="95"/>
                <w:kern w:val="0"/>
                <w:sz w:val="36"/>
                <w:szCs w:val="36"/>
                <w:lang w:eastAsia="zh-CN"/>
              </w:rPr>
            </w:pPr>
            <w:r>
              <w:rPr>
                <w:rFonts w:hint="eastAsia" w:ascii="仿宋" w:hAnsi="仿宋" w:eastAsia="仿宋" w:cs="仿宋"/>
                <w:color w:val="000000"/>
                <w:w w:val="95"/>
                <w:kern w:val="0"/>
                <w:sz w:val="36"/>
                <w:szCs w:val="36"/>
                <w:lang w:eastAsia="zh-CN"/>
              </w:rPr>
              <w:t>福建省泓瀚卫生用品有限公司</w:t>
            </w:r>
          </w:p>
        </w:tc>
      </w:tr>
      <w:tr w14:paraId="0F9D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935" w:type="dxa"/>
            <w:tcBorders>
              <w:top w:val="nil"/>
              <w:left w:val="nil"/>
              <w:bottom w:val="nil"/>
              <w:right w:val="nil"/>
            </w:tcBorders>
            <w:noWrap w:val="0"/>
            <w:vAlign w:val="center"/>
          </w:tcPr>
          <w:p w14:paraId="7E91F919">
            <w:pPr>
              <w:jc w:val="left"/>
              <w:rPr>
                <w:rFonts w:hint="eastAsia"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编制时间：</w:t>
            </w:r>
          </w:p>
        </w:tc>
        <w:tc>
          <w:tcPr>
            <w:tcW w:w="6196" w:type="dxa"/>
            <w:tcBorders>
              <w:top w:val="nil"/>
              <w:left w:val="nil"/>
              <w:bottom w:val="single" w:color="auto" w:sz="4" w:space="0"/>
              <w:right w:val="nil"/>
            </w:tcBorders>
            <w:noWrap w:val="0"/>
            <w:vAlign w:val="center"/>
          </w:tcPr>
          <w:p w14:paraId="3A015863">
            <w:pPr>
              <w:spacing w:line="0" w:lineRule="atLeast"/>
              <w:jc w:val="center"/>
              <w:rPr>
                <w:rFonts w:hint="default"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2025年1月</w:t>
            </w:r>
          </w:p>
        </w:tc>
      </w:tr>
    </w:tbl>
    <w:p w14:paraId="0A8921AC">
      <w:pPr>
        <w:rPr>
          <w:rFonts w:hint="default" w:ascii="Times New Roman" w:hAnsi="Times New Roman" w:eastAsia="宋体" w:cs="Times New Roman"/>
          <w:b/>
          <w:color w:val="000000"/>
          <w:sz w:val="32"/>
        </w:rPr>
      </w:pPr>
    </w:p>
    <w:p w14:paraId="05B24627">
      <w:pPr>
        <w:rPr>
          <w:rFonts w:hint="default" w:ascii="Times New Roman" w:hAnsi="Times New Roman" w:eastAsia="宋体" w:cs="Times New Roman"/>
          <w:b/>
          <w:color w:val="000000"/>
          <w:sz w:val="32"/>
        </w:rPr>
      </w:pPr>
    </w:p>
    <w:p w14:paraId="6E1CF2A8">
      <w:pPr>
        <w:rPr>
          <w:rFonts w:hint="default" w:ascii="Times New Roman" w:hAnsi="Times New Roman" w:eastAsia="宋体" w:cs="Times New Roman"/>
          <w:b/>
          <w:color w:val="000000"/>
          <w:sz w:val="32"/>
        </w:rPr>
      </w:pPr>
    </w:p>
    <w:p w14:paraId="6CC61A6C">
      <w:pPr>
        <w:rPr>
          <w:rFonts w:hint="default" w:ascii="Times New Roman" w:hAnsi="Times New Roman" w:eastAsia="宋体" w:cs="Times New Roman"/>
          <w:b/>
          <w:color w:val="000000"/>
          <w:sz w:val="32"/>
        </w:rPr>
      </w:pPr>
    </w:p>
    <w:p w14:paraId="0AD280A5">
      <w:pPr>
        <w:rPr>
          <w:rFonts w:hint="default" w:ascii="Times New Roman" w:hAnsi="Times New Roman" w:eastAsia="宋体" w:cs="Times New Roman"/>
          <w:b/>
          <w:color w:val="000000"/>
          <w:sz w:val="32"/>
        </w:rPr>
      </w:pPr>
    </w:p>
    <w:p w14:paraId="01DDAC9B">
      <w:pPr>
        <w:rPr>
          <w:rFonts w:hint="default" w:ascii="Times New Roman" w:hAnsi="Times New Roman" w:eastAsia="宋体" w:cs="Times New Roman"/>
          <w:b/>
          <w:color w:val="000000"/>
          <w:sz w:val="32"/>
        </w:rPr>
      </w:pPr>
    </w:p>
    <w:p w14:paraId="09997FD7">
      <w:pPr>
        <w:rPr>
          <w:rFonts w:hint="default" w:ascii="Times New Roman" w:hAnsi="Times New Roman" w:eastAsia="宋体" w:cs="Times New Roman"/>
          <w:b/>
          <w:color w:val="000000"/>
          <w:sz w:val="32"/>
        </w:rPr>
      </w:pPr>
    </w:p>
    <w:p w14:paraId="0F88F9DB">
      <w:pPr>
        <w:rPr>
          <w:rFonts w:hint="default" w:ascii="Times New Roman" w:hAnsi="Times New Roman" w:eastAsia="宋体" w:cs="Times New Roman"/>
          <w:b/>
          <w:color w:val="000000"/>
          <w:sz w:val="32"/>
        </w:rPr>
      </w:pPr>
    </w:p>
    <w:p w14:paraId="3ADC5C1F">
      <w:pPr>
        <w:ind w:firstLine="602"/>
        <w:jc w:val="center"/>
        <w:rPr>
          <w:rFonts w:hint="default" w:ascii="Times New Roman" w:hAnsi="Times New Roman" w:eastAsia="宋体" w:cs="Times New Roman"/>
          <w:b/>
          <w:color w:val="000000"/>
          <w:sz w:val="30"/>
          <w:szCs w:val="30"/>
        </w:rPr>
      </w:pPr>
      <w:r>
        <w:rPr>
          <w:rFonts w:hint="eastAsia" w:ascii="楷体_GB2312" w:eastAsia="楷体_GB2312"/>
          <w:color w:val="000000"/>
          <w:sz w:val="36"/>
          <w:szCs w:val="36"/>
        </w:rPr>
        <w:t>中华人民共和国生态环境部制</w:t>
      </w:r>
    </w:p>
    <w:p w14:paraId="060A0CD3">
      <w:pPr>
        <w:rPr>
          <w:rFonts w:hint="default" w:ascii="Times New Roman" w:hAnsi="Times New Roman" w:eastAsia="宋体" w:cs="Times New Roman"/>
          <w:b/>
          <w:color w:val="000000"/>
          <w:sz w:val="30"/>
          <w:szCs w:val="30"/>
        </w:rPr>
        <w:sectPr>
          <w:type w:val="continuous"/>
          <w:pgSz w:w="23760" w:h="16781" w:orient="landscape"/>
          <w:pgMar w:top="1417" w:right="1134" w:bottom="1134" w:left="1134" w:header="567" w:footer="567" w:gutter="0"/>
          <w:pgBorders>
            <w:top w:val="none" w:sz="0" w:space="0"/>
            <w:left w:val="none" w:sz="0" w:space="0"/>
            <w:bottom w:val="none" w:sz="0" w:space="0"/>
            <w:right w:val="none" w:sz="0" w:space="0"/>
          </w:pgBorders>
          <w:pgNumType w:start="1"/>
          <w:cols w:equalWidth="0" w:num="2">
            <w:col w:w="10533" w:space="425"/>
            <w:col w:w="10533"/>
          </w:cols>
          <w:rtlGutter w:val="0"/>
          <w:docGrid w:linePitch="326" w:charSpace="0"/>
        </w:sectPr>
      </w:pPr>
    </w:p>
    <w:p w14:paraId="6B2AA23E">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0"/>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97"/>
        <w:gridCol w:w="2123"/>
        <w:gridCol w:w="2189"/>
        <w:gridCol w:w="2961"/>
      </w:tblGrid>
      <w:tr w14:paraId="468E5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597" w:type="dxa"/>
            <w:noWrap w:val="0"/>
            <w:tcMar>
              <w:top w:w="16" w:type="dxa"/>
              <w:left w:w="16" w:type="dxa"/>
              <w:right w:w="16" w:type="dxa"/>
            </w:tcMar>
            <w:vAlign w:val="center"/>
          </w:tcPr>
          <w:p w14:paraId="582F613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建设项目名称</w:t>
            </w:r>
          </w:p>
        </w:tc>
        <w:tc>
          <w:tcPr>
            <w:tcW w:w="7273" w:type="dxa"/>
            <w:gridSpan w:val="3"/>
            <w:noWrap w:val="0"/>
            <w:vAlign w:val="center"/>
          </w:tcPr>
          <w:p w14:paraId="3CEFC52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福建省泓瀚卫生用品有限公司经期裤、护垫、卫生巾生产项目</w:t>
            </w:r>
          </w:p>
        </w:tc>
      </w:tr>
      <w:tr w14:paraId="498DF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1597" w:type="dxa"/>
            <w:noWrap w:val="0"/>
            <w:tcMar>
              <w:top w:w="16" w:type="dxa"/>
              <w:left w:w="16" w:type="dxa"/>
              <w:right w:w="16" w:type="dxa"/>
            </w:tcMar>
            <w:vAlign w:val="center"/>
          </w:tcPr>
          <w:p w14:paraId="3C4E5BF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项目代码</w:t>
            </w:r>
          </w:p>
        </w:tc>
        <w:tc>
          <w:tcPr>
            <w:tcW w:w="7273" w:type="dxa"/>
            <w:gridSpan w:val="3"/>
            <w:noWrap w:val="0"/>
            <w:vAlign w:val="center"/>
          </w:tcPr>
          <w:p w14:paraId="3306947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2501-350521-04-01-769128</w:t>
            </w:r>
          </w:p>
        </w:tc>
      </w:tr>
      <w:tr w14:paraId="406DB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597" w:type="dxa"/>
            <w:noWrap w:val="0"/>
            <w:tcMar>
              <w:top w:w="16" w:type="dxa"/>
              <w:left w:w="16" w:type="dxa"/>
              <w:right w:w="16" w:type="dxa"/>
            </w:tcMar>
            <w:vAlign w:val="center"/>
          </w:tcPr>
          <w:p w14:paraId="275CB84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建设单位联系人</w:t>
            </w:r>
          </w:p>
        </w:tc>
        <w:tc>
          <w:tcPr>
            <w:tcW w:w="2123" w:type="dxa"/>
            <w:noWrap w:val="0"/>
            <w:vAlign w:val="center"/>
          </w:tcPr>
          <w:p w14:paraId="54073EB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2189" w:type="dxa"/>
            <w:noWrap w:val="0"/>
            <w:vAlign w:val="center"/>
          </w:tcPr>
          <w:p w14:paraId="0C11534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联系方式</w:t>
            </w:r>
          </w:p>
        </w:tc>
        <w:tc>
          <w:tcPr>
            <w:tcW w:w="2961" w:type="dxa"/>
            <w:noWrap w:val="0"/>
            <w:vAlign w:val="center"/>
          </w:tcPr>
          <w:p w14:paraId="4EE0FAF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r>
      <w:tr w14:paraId="3D97F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597" w:type="dxa"/>
            <w:noWrap w:val="0"/>
            <w:tcMar>
              <w:top w:w="16" w:type="dxa"/>
              <w:left w:w="16" w:type="dxa"/>
              <w:right w:w="16" w:type="dxa"/>
            </w:tcMar>
            <w:vAlign w:val="center"/>
          </w:tcPr>
          <w:p w14:paraId="73C5DF4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建设地点</w:t>
            </w:r>
          </w:p>
        </w:tc>
        <w:tc>
          <w:tcPr>
            <w:tcW w:w="7273" w:type="dxa"/>
            <w:gridSpan w:val="3"/>
            <w:noWrap w:val="0"/>
            <w:vAlign w:val="center"/>
          </w:tcPr>
          <w:p w14:paraId="5C79EDA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泉州市惠安县城西台商创业基地（黄塘镇前郭村）</w:t>
            </w:r>
          </w:p>
        </w:tc>
      </w:tr>
      <w:tr w14:paraId="6BE22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597" w:type="dxa"/>
            <w:noWrap w:val="0"/>
            <w:tcMar>
              <w:top w:w="16" w:type="dxa"/>
              <w:left w:w="16" w:type="dxa"/>
              <w:right w:w="16" w:type="dxa"/>
            </w:tcMar>
            <w:vAlign w:val="center"/>
          </w:tcPr>
          <w:p w14:paraId="37FDAA4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地理坐标</w:t>
            </w:r>
          </w:p>
        </w:tc>
        <w:tc>
          <w:tcPr>
            <w:tcW w:w="7273" w:type="dxa"/>
            <w:gridSpan w:val="3"/>
            <w:noWrap w:val="0"/>
            <w:vAlign w:val="center"/>
          </w:tcPr>
          <w:p w14:paraId="27DF8B67">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u w:val="single"/>
              </w:rPr>
              <w:t xml:space="preserve"> </w:t>
            </w:r>
            <w:r>
              <w:rPr>
                <w:rFonts w:hint="eastAsia" w:cs="Times New Roman"/>
                <w:color w:val="000000"/>
                <w:sz w:val="21"/>
                <w:szCs w:val="21"/>
                <w:u w:val="single"/>
                <w:lang w:val="en-US" w:eastAsia="zh-CN"/>
              </w:rPr>
              <w:t>118</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u w:val="none"/>
              </w:rPr>
              <w:t>度</w:t>
            </w:r>
            <w:r>
              <w:rPr>
                <w:rFonts w:hint="default" w:ascii="Times New Roman" w:hAnsi="Times New Roman" w:cs="Times New Roman"/>
                <w:color w:val="000000"/>
                <w:sz w:val="21"/>
                <w:szCs w:val="21"/>
                <w:u w:val="single"/>
              </w:rPr>
              <w:t xml:space="preserve"> </w:t>
            </w:r>
            <w:r>
              <w:rPr>
                <w:rFonts w:hint="eastAsia" w:cs="Times New Roman"/>
                <w:color w:val="000000"/>
                <w:sz w:val="21"/>
                <w:szCs w:val="21"/>
                <w:u w:val="single"/>
                <w:lang w:val="en-US" w:eastAsia="zh-CN"/>
              </w:rPr>
              <w:t>42</w:t>
            </w:r>
            <w:r>
              <w:rPr>
                <w:rFonts w:hint="eastAsia" w:cs="Times New Roman"/>
                <w:color w:val="000000"/>
                <w:sz w:val="21"/>
                <w:szCs w:val="21"/>
                <w:u w:val="single"/>
                <w:lang w:val="en-US" w:eastAsia="zh-CN" w:bidi="ar"/>
              </w:rPr>
              <w:t xml:space="preserve"> </w:t>
            </w:r>
            <w:r>
              <w:rPr>
                <w:rFonts w:hint="default" w:ascii="Times New Roman" w:hAnsi="Times New Roman" w:cs="Times New Roman"/>
                <w:color w:val="000000"/>
                <w:sz w:val="21"/>
                <w:szCs w:val="21"/>
                <w:u w:val="none"/>
              </w:rPr>
              <w:t>分</w:t>
            </w:r>
            <w:r>
              <w:rPr>
                <w:rFonts w:hint="default" w:ascii="Times New Roman" w:hAnsi="Times New Roman" w:cs="Times New Roman"/>
                <w:color w:val="000000"/>
                <w:sz w:val="21"/>
                <w:szCs w:val="21"/>
                <w:u w:val="single"/>
              </w:rPr>
              <w:t xml:space="preserve"> </w:t>
            </w:r>
            <w:r>
              <w:rPr>
                <w:rFonts w:hint="eastAsia" w:cs="Times New Roman"/>
                <w:color w:val="000000"/>
                <w:sz w:val="21"/>
                <w:szCs w:val="21"/>
                <w:u w:val="single"/>
                <w:lang w:val="en-US" w:eastAsia="zh-CN"/>
              </w:rPr>
              <w:t>16.570</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u w:val="none"/>
              </w:rPr>
              <w:t>秒</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u w:val="single"/>
              </w:rPr>
              <w:t xml:space="preserve"> </w:t>
            </w:r>
            <w:r>
              <w:rPr>
                <w:rFonts w:hint="eastAsia" w:cs="Times New Roman"/>
                <w:color w:val="000000"/>
                <w:sz w:val="21"/>
                <w:szCs w:val="21"/>
                <w:u w:val="single"/>
                <w:lang w:val="en-US" w:eastAsia="zh-CN"/>
              </w:rPr>
              <w:t>25</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度</w:t>
            </w:r>
            <w:r>
              <w:rPr>
                <w:rFonts w:hint="default" w:ascii="Times New Roman" w:hAnsi="Times New Roman" w:cs="Times New Roman"/>
                <w:color w:val="000000"/>
                <w:sz w:val="21"/>
                <w:szCs w:val="21"/>
                <w:u w:val="single"/>
              </w:rPr>
              <w:t xml:space="preserve"> </w:t>
            </w:r>
            <w:r>
              <w:rPr>
                <w:rFonts w:hint="eastAsia" w:cs="Times New Roman"/>
                <w:color w:val="000000"/>
                <w:sz w:val="21"/>
                <w:szCs w:val="21"/>
                <w:u w:val="single"/>
                <w:lang w:val="en-US" w:eastAsia="zh-CN"/>
              </w:rPr>
              <w:t>1</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分</w:t>
            </w:r>
            <w:r>
              <w:rPr>
                <w:rFonts w:hint="default" w:ascii="Times New Roman" w:hAnsi="Times New Roman" w:cs="Times New Roman"/>
                <w:color w:val="000000"/>
                <w:sz w:val="21"/>
                <w:szCs w:val="21"/>
                <w:u w:val="single"/>
              </w:rPr>
              <w:t xml:space="preserve"> </w:t>
            </w:r>
            <w:r>
              <w:rPr>
                <w:rFonts w:hint="eastAsia" w:cs="Times New Roman"/>
                <w:color w:val="000000"/>
                <w:sz w:val="21"/>
                <w:szCs w:val="21"/>
                <w:u w:val="single"/>
                <w:lang w:val="en-US" w:eastAsia="zh-CN"/>
              </w:rPr>
              <w:t>46.419</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秒）</w:t>
            </w:r>
          </w:p>
        </w:tc>
      </w:tr>
      <w:tr w14:paraId="2E795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97" w:type="dxa"/>
            <w:noWrap w:val="0"/>
            <w:tcMar>
              <w:top w:w="16" w:type="dxa"/>
              <w:left w:w="16" w:type="dxa"/>
              <w:right w:w="16" w:type="dxa"/>
            </w:tcMar>
            <w:vAlign w:val="center"/>
          </w:tcPr>
          <w:p w14:paraId="52F2429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国民经济</w:t>
            </w:r>
          </w:p>
          <w:p w14:paraId="39365D7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行业类别</w:t>
            </w:r>
          </w:p>
        </w:tc>
        <w:tc>
          <w:tcPr>
            <w:tcW w:w="2123" w:type="dxa"/>
            <w:noWrap w:val="0"/>
            <w:vAlign w:val="center"/>
          </w:tcPr>
          <w:p w14:paraId="553235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000000"/>
                <w:lang w:val="en-US" w:eastAsia="zh-CN"/>
              </w:rPr>
            </w:pPr>
            <w:r>
              <w:rPr>
                <w:rFonts w:hint="eastAsia"/>
                <w:color w:val="000000"/>
                <w:lang w:val="en-US" w:eastAsia="zh-CN"/>
              </w:rPr>
              <w:t>C2239其他纸制品制造</w:t>
            </w:r>
          </w:p>
        </w:tc>
        <w:tc>
          <w:tcPr>
            <w:tcW w:w="2189" w:type="dxa"/>
            <w:noWrap w:val="0"/>
            <w:vAlign w:val="center"/>
          </w:tcPr>
          <w:p w14:paraId="5D18DB2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szCs w:val="21"/>
              </w:rPr>
            </w:pPr>
            <w:bookmarkStart w:id="0" w:name="_Hlk49843745"/>
            <w:r>
              <w:rPr>
                <w:rFonts w:hint="default" w:ascii="Times New Roman" w:hAnsi="Times New Roman" w:eastAsia="宋体" w:cs="Times New Roman"/>
                <w:color w:val="000000"/>
                <w:szCs w:val="21"/>
              </w:rPr>
              <w:t>建设项目</w:t>
            </w:r>
          </w:p>
          <w:p w14:paraId="3272190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行业类别</w:t>
            </w:r>
            <w:bookmarkEnd w:id="0"/>
          </w:p>
        </w:tc>
        <w:tc>
          <w:tcPr>
            <w:tcW w:w="2961" w:type="dxa"/>
            <w:noWrap w:val="0"/>
            <w:vAlign w:val="center"/>
          </w:tcPr>
          <w:p w14:paraId="7AEA34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十九、造纸和纸制品业22：38纸制品制造223*</w:t>
            </w:r>
          </w:p>
        </w:tc>
      </w:tr>
      <w:tr w14:paraId="521A6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97" w:type="dxa"/>
            <w:noWrap w:val="0"/>
            <w:tcMar>
              <w:top w:w="16" w:type="dxa"/>
              <w:left w:w="16" w:type="dxa"/>
              <w:right w:w="16" w:type="dxa"/>
            </w:tcMar>
            <w:vAlign w:val="center"/>
          </w:tcPr>
          <w:p w14:paraId="3D0DDB6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建设性质</w:t>
            </w:r>
          </w:p>
        </w:tc>
        <w:tc>
          <w:tcPr>
            <w:tcW w:w="2123" w:type="dxa"/>
            <w:noWrap w:val="0"/>
            <w:vAlign w:val="center"/>
          </w:tcPr>
          <w:p w14:paraId="69E83CE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sym w:font="Wingdings 2" w:char="0052"/>
            </w:r>
            <w:r>
              <w:rPr>
                <w:rFonts w:hint="default" w:ascii="Times New Roman" w:hAnsi="Times New Roman" w:cs="Times New Roman"/>
                <w:color w:val="000000"/>
                <w:szCs w:val="21"/>
              </w:rPr>
              <w:t>新建（迁建）</w:t>
            </w:r>
          </w:p>
          <w:p w14:paraId="5B22A82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sym w:font="Wingdings 2" w:char="00A3"/>
            </w:r>
            <w:r>
              <w:rPr>
                <w:rFonts w:hint="default" w:ascii="Times New Roman" w:hAnsi="Times New Roman" w:cs="Times New Roman"/>
                <w:color w:val="000000"/>
                <w:szCs w:val="21"/>
              </w:rPr>
              <w:t>改建</w:t>
            </w:r>
          </w:p>
          <w:p w14:paraId="7CCC2CD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sym w:font="Wingdings 2" w:char="00A3"/>
            </w:r>
            <w:r>
              <w:rPr>
                <w:rFonts w:hint="default" w:ascii="Times New Roman" w:hAnsi="Times New Roman" w:cs="Times New Roman"/>
                <w:color w:val="000000"/>
                <w:szCs w:val="21"/>
              </w:rPr>
              <w:t>扩建</w:t>
            </w:r>
          </w:p>
          <w:p w14:paraId="38ADC00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sym w:font="Wingdings 2" w:char="00A3"/>
            </w:r>
            <w:r>
              <w:rPr>
                <w:rFonts w:hint="default" w:ascii="Times New Roman" w:hAnsi="Times New Roman" w:cs="Times New Roman"/>
                <w:color w:val="000000"/>
                <w:szCs w:val="21"/>
              </w:rPr>
              <w:t>技术改造</w:t>
            </w:r>
          </w:p>
        </w:tc>
        <w:tc>
          <w:tcPr>
            <w:tcW w:w="2189" w:type="dxa"/>
            <w:noWrap w:val="0"/>
            <w:vAlign w:val="center"/>
          </w:tcPr>
          <w:p w14:paraId="20895B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建设项目</w:t>
            </w:r>
          </w:p>
          <w:p w14:paraId="5E1439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申报情形</w:t>
            </w:r>
          </w:p>
        </w:tc>
        <w:tc>
          <w:tcPr>
            <w:tcW w:w="2961" w:type="dxa"/>
            <w:noWrap w:val="0"/>
            <w:vAlign w:val="center"/>
          </w:tcPr>
          <w:p w14:paraId="5F39074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sym w:font="Wingdings 2" w:char="0052"/>
            </w:r>
            <w:r>
              <w:rPr>
                <w:rFonts w:hint="default" w:ascii="Times New Roman" w:hAnsi="Times New Roman" w:cs="Times New Roman"/>
                <w:color w:val="000000"/>
                <w:szCs w:val="21"/>
              </w:rPr>
              <w:t xml:space="preserve">首次申报项目             </w:t>
            </w:r>
          </w:p>
          <w:p w14:paraId="61961F3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sym w:font="Wingdings 2" w:char="00A3"/>
            </w:r>
            <w:r>
              <w:rPr>
                <w:rFonts w:hint="default" w:ascii="Times New Roman" w:hAnsi="Times New Roman" w:cs="Times New Roman"/>
                <w:color w:val="000000"/>
                <w:szCs w:val="21"/>
              </w:rPr>
              <w:t>不予批准后再次申报项目</w:t>
            </w:r>
          </w:p>
          <w:p w14:paraId="05AA63E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sym w:font="Wingdings 2" w:char="00A3"/>
            </w:r>
            <w:r>
              <w:rPr>
                <w:rFonts w:hint="default" w:ascii="Times New Roman" w:hAnsi="Times New Roman" w:cs="Times New Roman"/>
                <w:color w:val="000000"/>
                <w:szCs w:val="21"/>
              </w:rPr>
              <w:t xml:space="preserve">超五年重新审核项目     </w:t>
            </w:r>
          </w:p>
          <w:p w14:paraId="52905C9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sym w:font="Wingdings 2" w:char="00A3"/>
            </w:r>
            <w:r>
              <w:rPr>
                <w:rFonts w:hint="default" w:ascii="Times New Roman" w:hAnsi="Times New Roman" w:cs="Times New Roman"/>
                <w:color w:val="000000"/>
                <w:szCs w:val="21"/>
              </w:rPr>
              <w:t>重大变动重新报批项目</w:t>
            </w:r>
          </w:p>
        </w:tc>
      </w:tr>
      <w:tr w14:paraId="272FA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97" w:type="dxa"/>
            <w:noWrap w:val="0"/>
            <w:tcMar>
              <w:top w:w="16" w:type="dxa"/>
              <w:left w:w="16" w:type="dxa"/>
              <w:right w:w="16" w:type="dxa"/>
            </w:tcMar>
            <w:vAlign w:val="center"/>
          </w:tcPr>
          <w:p w14:paraId="451A87D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项目审批（核准/</w:t>
            </w:r>
          </w:p>
          <w:p w14:paraId="3A1FA1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备案）部门（选填）</w:t>
            </w:r>
          </w:p>
        </w:tc>
        <w:tc>
          <w:tcPr>
            <w:tcW w:w="2123" w:type="dxa"/>
            <w:noWrap w:val="0"/>
            <w:vAlign w:val="center"/>
          </w:tcPr>
          <w:p w14:paraId="34E3FDE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Cs w:val="21"/>
                <w:lang w:val="en-US" w:eastAsia="zh-CN"/>
              </w:rPr>
            </w:pPr>
            <w:r>
              <w:rPr>
                <w:rFonts w:hint="eastAsia" w:cs="Times New Roman"/>
                <w:color w:val="auto"/>
                <w:szCs w:val="21"/>
                <w:lang w:val="en-US" w:eastAsia="zh-CN"/>
              </w:rPr>
              <w:t>惠安县</w:t>
            </w:r>
            <w:r>
              <w:rPr>
                <w:rFonts w:hint="default" w:ascii="Times New Roman" w:hAnsi="Times New Roman" w:eastAsia="宋体" w:cs="Times New Roman"/>
                <w:color w:val="auto"/>
                <w:sz w:val="21"/>
                <w:szCs w:val="21"/>
                <w:highlight w:val="none"/>
              </w:rPr>
              <w:t>发展和改革局</w:t>
            </w:r>
          </w:p>
        </w:tc>
        <w:tc>
          <w:tcPr>
            <w:tcW w:w="2189" w:type="dxa"/>
            <w:noWrap w:val="0"/>
            <w:vAlign w:val="center"/>
          </w:tcPr>
          <w:p w14:paraId="0395946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项目审批（核准/</w:t>
            </w:r>
          </w:p>
          <w:p w14:paraId="482FAA2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备案）文号（选填）</w:t>
            </w:r>
          </w:p>
        </w:tc>
        <w:tc>
          <w:tcPr>
            <w:tcW w:w="2961" w:type="dxa"/>
            <w:noWrap w:val="0"/>
            <w:vAlign w:val="center"/>
          </w:tcPr>
          <w:p w14:paraId="6B4C018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Cs w:val="21"/>
                <w:lang w:val="en-US" w:eastAsia="zh-CN"/>
              </w:rPr>
            </w:pPr>
            <w:r>
              <w:rPr>
                <w:rFonts w:hint="eastAsia" w:cs="Times New Roman"/>
                <w:color w:val="auto"/>
                <w:szCs w:val="21"/>
                <w:lang w:eastAsia="zh-CN"/>
              </w:rPr>
              <w:t>闽发改备[20</w:t>
            </w:r>
            <w:r>
              <w:rPr>
                <w:rFonts w:hint="eastAsia" w:cs="Times New Roman"/>
                <w:color w:val="auto"/>
                <w:szCs w:val="21"/>
                <w:lang w:val="en-US" w:eastAsia="zh-CN"/>
              </w:rPr>
              <w:t>25</w:t>
            </w:r>
            <w:r>
              <w:rPr>
                <w:rFonts w:hint="eastAsia" w:cs="Times New Roman"/>
                <w:color w:val="auto"/>
                <w:szCs w:val="21"/>
                <w:lang w:eastAsia="zh-CN"/>
              </w:rPr>
              <w:t>]C0</w:t>
            </w:r>
            <w:r>
              <w:rPr>
                <w:rFonts w:hint="eastAsia" w:cs="Times New Roman"/>
                <w:color w:val="auto"/>
                <w:szCs w:val="21"/>
                <w:lang w:val="en-US" w:eastAsia="zh-CN"/>
              </w:rPr>
              <w:t>80009</w:t>
            </w:r>
            <w:r>
              <w:rPr>
                <w:rFonts w:hint="eastAsia" w:cs="Times New Roman"/>
                <w:color w:val="auto"/>
                <w:szCs w:val="21"/>
                <w:lang w:eastAsia="zh-CN"/>
              </w:rPr>
              <w:t>号</w:t>
            </w:r>
          </w:p>
        </w:tc>
      </w:tr>
      <w:tr w14:paraId="3C59A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597" w:type="dxa"/>
            <w:noWrap w:val="0"/>
            <w:tcMar>
              <w:top w:w="16" w:type="dxa"/>
              <w:left w:w="16" w:type="dxa"/>
              <w:right w:w="16" w:type="dxa"/>
            </w:tcMar>
            <w:vAlign w:val="center"/>
          </w:tcPr>
          <w:p w14:paraId="6016CE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总投资（万元）</w:t>
            </w:r>
          </w:p>
        </w:tc>
        <w:tc>
          <w:tcPr>
            <w:tcW w:w="2123" w:type="dxa"/>
            <w:noWrap w:val="0"/>
            <w:vAlign w:val="center"/>
          </w:tcPr>
          <w:p w14:paraId="2718EB3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4052</w:t>
            </w:r>
          </w:p>
        </w:tc>
        <w:tc>
          <w:tcPr>
            <w:tcW w:w="2189" w:type="dxa"/>
            <w:noWrap w:val="0"/>
            <w:tcMar>
              <w:top w:w="16" w:type="dxa"/>
              <w:left w:w="16" w:type="dxa"/>
              <w:right w:w="16" w:type="dxa"/>
            </w:tcMar>
            <w:vAlign w:val="center"/>
          </w:tcPr>
          <w:p w14:paraId="015B47A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环保投资（万元）</w:t>
            </w:r>
          </w:p>
        </w:tc>
        <w:tc>
          <w:tcPr>
            <w:tcW w:w="2961" w:type="dxa"/>
            <w:noWrap w:val="0"/>
            <w:vAlign w:val="center"/>
          </w:tcPr>
          <w:p w14:paraId="31CA36F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80</w:t>
            </w:r>
          </w:p>
        </w:tc>
      </w:tr>
      <w:tr w14:paraId="5B62D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97" w:type="dxa"/>
            <w:noWrap w:val="0"/>
            <w:tcMar>
              <w:top w:w="16" w:type="dxa"/>
              <w:left w:w="16" w:type="dxa"/>
              <w:right w:w="16" w:type="dxa"/>
            </w:tcMar>
            <w:vAlign w:val="center"/>
          </w:tcPr>
          <w:p w14:paraId="3EFB698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环保投资占比（%）</w:t>
            </w:r>
          </w:p>
        </w:tc>
        <w:tc>
          <w:tcPr>
            <w:tcW w:w="2123" w:type="dxa"/>
            <w:noWrap w:val="0"/>
            <w:vAlign w:val="center"/>
          </w:tcPr>
          <w:p w14:paraId="71FAD94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2.0</w:t>
            </w:r>
          </w:p>
        </w:tc>
        <w:tc>
          <w:tcPr>
            <w:tcW w:w="2189" w:type="dxa"/>
            <w:noWrap w:val="0"/>
            <w:tcMar>
              <w:top w:w="16" w:type="dxa"/>
              <w:left w:w="16" w:type="dxa"/>
              <w:right w:w="16" w:type="dxa"/>
            </w:tcMar>
            <w:vAlign w:val="center"/>
          </w:tcPr>
          <w:p w14:paraId="3D50010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施工工期</w:t>
            </w:r>
          </w:p>
        </w:tc>
        <w:tc>
          <w:tcPr>
            <w:tcW w:w="2961" w:type="dxa"/>
            <w:noWrap w:val="0"/>
            <w:vAlign w:val="center"/>
          </w:tcPr>
          <w:p w14:paraId="0C4F67D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1个月</w:t>
            </w:r>
          </w:p>
        </w:tc>
      </w:tr>
      <w:tr w14:paraId="0BEB6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97" w:type="dxa"/>
            <w:noWrap w:val="0"/>
            <w:tcMar>
              <w:top w:w="16" w:type="dxa"/>
              <w:left w:w="16" w:type="dxa"/>
              <w:right w:w="16" w:type="dxa"/>
            </w:tcMar>
            <w:vAlign w:val="center"/>
          </w:tcPr>
          <w:p w14:paraId="37C15E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是否开工建设</w:t>
            </w:r>
          </w:p>
        </w:tc>
        <w:tc>
          <w:tcPr>
            <w:tcW w:w="2123" w:type="dxa"/>
            <w:noWrap w:val="0"/>
            <w:vAlign w:val="center"/>
          </w:tcPr>
          <w:p w14:paraId="067F70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sym w:font="Wingdings 2" w:char="0052"/>
            </w:r>
            <w:r>
              <w:rPr>
                <w:rFonts w:hint="default" w:ascii="Times New Roman" w:hAnsi="Times New Roman" w:cs="Times New Roman"/>
                <w:color w:val="000000"/>
                <w:szCs w:val="21"/>
              </w:rPr>
              <w:t>否</w:t>
            </w:r>
          </w:p>
          <w:p w14:paraId="257DD3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sym w:font="Wingdings 2" w:char="00A3"/>
            </w:r>
            <w:r>
              <w:rPr>
                <w:rFonts w:hint="default" w:ascii="Times New Roman" w:hAnsi="Times New Roman" w:cs="Times New Roman"/>
                <w:color w:val="000000"/>
                <w:szCs w:val="21"/>
              </w:rPr>
              <w:t>是：</w:t>
            </w:r>
          </w:p>
        </w:tc>
        <w:tc>
          <w:tcPr>
            <w:tcW w:w="2189" w:type="dxa"/>
            <w:noWrap w:val="0"/>
            <w:tcMar>
              <w:top w:w="16" w:type="dxa"/>
              <w:left w:w="16" w:type="dxa"/>
              <w:right w:w="16" w:type="dxa"/>
            </w:tcMar>
            <w:vAlign w:val="center"/>
          </w:tcPr>
          <w:p w14:paraId="3BD565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pacing w:val="-6"/>
                <w:szCs w:val="21"/>
              </w:rPr>
            </w:pPr>
            <w:r>
              <w:rPr>
                <w:rFonts w:hint="default" w:ascii="Times New Roman" w:hAnsi="Times New Roman" w:cs="Times New Roman"/>
                <w:color w:val="000000"/>
                <w:spacing w:val="-6"/>
                <w:szCs w:val="21"/>
              </w:rPr>
              <w:t>用地（用海）</w:t>
            </w:r>
          </w:p>
          <w:p w14:paraId="3634DF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pacing w:val="-6"/>
                <w:szCs w:val="21"/>
              </w:rPr>
              <w:t>面积（m</w:t>
            </w:r>
            <w:r>
              <w:rPr>
                <w:rFonts w:hint="default" w:ascii="Times New Roman" w:hAnsi="Times New Roman" w:cs="Times New Roman"/>
                <w:color w:val="000000"/>
                <w:spacing w:val="-6"/>
                <w:szCs w:val="21"/>
                <w:vertAlign w:val="superscript"/>
              </w:rPr>
              <w:t>2</w:t>
            </w:r>
            <w:r>
              <w:rPr>
                <w:rFonts w:hint="default" w:ascii="Times New Roman" w:hAnsi="Times New Roman" w:cs="Times New Roman"/>
                <w:color w:val="000000"/>
                <w:spacing w:val="-6"/>
                <w:szCs w:val="21"/>
              </w:rPr>
              <w:t>）</w:t>
            </w:r>
          </w:p>
        </w:tc>
        <w:tc>
          <w:tcPr>
            <w:tcW w:w="2961" w:type="dxa"/>
            <w:noWrap w:val="0"/>
            <w:vAlign w:val="center"/>
          </w:tcPr>
          <w:p w14:paraId="4A8614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szCs w:val="21"/>
                <w:lang w:val="en-US" w:eastAsia="zh-CN"/>
              </w:rPr>
            </w:pPr>
            <w:r>
              <w:rPr>
                <w:rFonts w:hint="eastAsia" w:cs="Times New Roman"/>
                <w:color w:val="auto"/>
                <w:szCs w:val="21"/>
                <w:lang w:val="en-US" w:eastAsia="zh-CN"/>
              </w:rPr>
              <w:t>14000m</w:t>
            </w:r>
            <w:r>
              <w:rPr>
                <w:rFonts w:hint="eastAsia" w:cs="Times New Roman"/>
                <w:color w:val="auto"/>
                <w:szCs w:val="21"/>
                <w:vertAlign w:val="superscript"/>
                <w:lang w:val="en-US" w:eastAsia="zh-CN"/>
              </w:rPr>
              <w:t>2</w:t>
            </w:r>
          </w:p>
        </w:tc>
      </w:tr>
      <w:tr w14:paraId="00F95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597" w:type="dxa"/>
            <w:noWrap w:val="0"/>
            <w:vAlign w:val="center"/>
          </w:tcPr>
          <w:p w14:paraId="2633BBD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专项评价设置情况</w:t>
            </w:r>
          </w:p>
        </w:tc>
        <w:tc>
          <w:tcPr>
            <w:tcW w:w="7273" w:type="dxa"/>
            <w:gridSpan w:val="3"/>
            <w:noWrap w:val="0"/>
            <w:vAlign w:val="center"/>
          </w:tcPr>
          <w:p w14:paraId="01AB619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firstLine="420" w:firstLineChars="200"/>
              <w:jc w:val="left"/>
              <w:textAlignment w:val="auto"/>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根据《建设项目环境影响报告表编制技术指南（污染类）（试行）》，土壤、声环境不开展专项评价，地下水原则上不开展专项评价。大气、地表水、环境风险、生态和海洋专项评价具体设置原则见</w:t>
            </w:r>
            <w:r>
              <w:rPr>
                <w:rFonts w:hint="default" w:ascii="Times New Roman" w:hAnsi="Times New Roman" w:eastAsia="宋体" w:cs="Times New Roman"/>
                <w:b/>
                <w:bCs/>
                <w:color w:val="000000"/>
                <w:kern w:val="0"/>
                <w:szCs w:val="21"/>
                <w:lang w:val="en-US" w:eastAsia="zh-CN"/>
              </w:rPr>
              <w:t>表1-1</w:t>
            </w:r>
            <w:r>
              <w:rPr>
                <w:rFonts w:hint="default" w:ascii="Times New Roman" w:hAnsi="Times New Roman" w:eastAsia="宋体" w:cs="Times New Roman"/>
                <w:color w:val="000000"/>
                <w:kern w:val="0"/>
                <w:szCs w:val="21"/>
                <w:lang w:val="en-US" w:eastAsia="zh-CN"/>
              </w:rPr>
              <w:t>。</w:t>
            </w:r>
          </w:p>
          <w:p w14:paraId="3C9F8E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b/>
                <w:bCs/>
                <w:color w:val="000000"/>
                <w:sz w:val="21"/>
                <w:szCs w:val="21"/>
                <w:lang w:val="en-US" w:eastAsia="zh-CN"/>
              </w:rPr>
            </w:pPr>
            <w:r>
              <w:rPr>
                <w:rFonts w:hint="eastAsia" w:ascii="Times New Roman" w:hAnsi="Times New Roman" w:eastAsia="宋体"/>
                <w:b/>
                <w:bCs/>
                <w:color w:val="000000"/>
                <w:sz w:val="21"/>
                <w:szCs w:val="21"/>
                <w:lang w:val="en-US" w:eastAsia="zh-CN"/>
              </w:rPr>
              <w:t>表1-1  专项评价设置</w:t>
            </w:r>
            <w:r>
              <w:rPr>
                <w:rFonts w:hint="eastAsia" w:ascii="Times New Roman" w:hAnsi="Times New Roman" w:eastAsia="宋体" w:cs="Times New Roman"/>
                <w:b/>
                <w:color w:val="000000"/>
                <w:sz w:val="21"/>
                <w:szCs w:val="21"/>
                <w:lang w:val="en-US" w:eastAsia="zh-CN"/>
              </w:rPr>
              <w:t>情况</w:t>
            </w:r>
            <w:r>
              <w:rPr>
                <w:rFonts w:hint="eastAsia" w:ascii="Times New Roman" w:hAnsi="Times New Roman" w:eastAsia="宋体"/>
                <w:b/>
                <w:bCs/>
                <w:color w:val="000000"/>
                <w:sz w:val="21"/>
                <w:szCs w:val="21"/>
                <w:lang w:val="en-US" w:eastAsia="zh-CN"/>
              </w:rPr>
              <w:t>一览表</w:t>
            </w:r>
          </w:p>
          <w:tbl>
            <w:tblPr>
              <w:tblStyle w:val="21"/>
              <w:tblpPr w:leftFromText="180" w:rightFromText="180" w:vertAnchor="text" w:horzAnchor="page" w:tblpXSpec="center" w:tblpY="42"/>
              <w:tblOverlap w:val="never"/>
              <w:tblW w:w="7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994"/>
              <w:gridCol w:w="2397"/>
              <w:gridCol w:w="776"/>
            </w:tblGrid>
            <w:tr w14:paraId="0055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pct"/>
                  <w:tcBorders>
                    <w:top w:val="single" w:color="auto" w:sz="12" w:space="0"/>
                    <w:left w:val="nil"/>
                  </w:tcBorders>
                  <w:noWrap w:val="0"/>
                  <w:vAlign w:val="center"/>
                </w:tcPr>
                <w:p w14:paraId="26C94E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b/>
                      <w:bCs/>
                      <w:color w:val="000000"/>
                      <w:kern w:val="0"/>
                      <w:sz w:val="21"/>
                      <w:szCs w:val="21"/>
                      <w:lang w:val="en-US" w:eastAsia="zh-CN" w:bidi="ar-SA"/>
                    </w:rPr>
                  </w:pPr>
                  <w:r>
                    <w:rPr>
                      <w:rFonts w:hint="eastAsia" w:ascii="Times New Roman" w:hAnsi="Times New Roman" w:eastAsia="宋体" w:cs="宋体"/>
                      <w:b/>
                      <w:bCs/>
                      <w:color w:val="000000"/>
                      <w:kern w:val="0"/>
                      <w:sz w:val="21"/>
                      <w:szCs w:val="21"/>
                      <w:lang w:val="en-US" w:eastAsia="zh-CN" w:bidi="ar-SA"/>
                    </w:rPr>
                    <w:t>专项评价的类别</w:t>
                  </w:r>
                </w:p>
              </w:tc>
              <w:tc>
                <w:tcPr>
                  <w:tcW w:w="2096" w:type="pct"/>
                  <w:tcBorders>
                    <w:top w:val="single" w:color="auto" w:sz="12" w:space="0"/>
                  </w:tcBorders>
                  <w:noWrap w:val="0"/>
                  <w:vAlign w:val="center"/>
                </w:tcPr>
                <w:p w14:paraId="497BB60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b/>
                      <w:bCs/>
                      <w:color w:val="000000"/>
                      <w:kern w:val="0"/>
                      <w:sz w:val="21"/>
                      <w:szCs w:val="21"/>
                      <w:lang w:val="en-US" w:eastAsia="zh-CN" w:bidi="ar-SA"/>
                    </w:rPr>
                  </w:pPr>
                  <w:r>
                    <w:rPr>
                      <w:rFonts w:hint="eastAsia" w:ascii="Times New Roman" w:hAnsi="Times New Roman" w:eastAsia="宋体" w:cs="宋体"/>
                      <w:b/>
                      <w:bCs/>
                      <w:color w:val="000000"/>
                      <w:kern w:val="0"/>
                      <w:sz w:val="21"/>
                      <w:szCs w:val="21"/>
                      <w:lang w:val="en-US" w:eastAsia="zh-CN" w:bidi="ar-SA"/>
                    </w:rPr>
                    <w:t>设置原则</w:t>
                  </w:r>
                </w:p>
              </w:tc>
              <w:tc>
                <w:tcPr>
                  <w:tcW w:w="1678" w:type="pct"/>
                  <w:tcBorders>
                    <w:top w:val="single" w:color="auto" w:sz="12" w:space="0"/>
                  </w:tcBorders>
                  <w:noWrap w:val="0"/>
                  <w:vAlign w:val="center"/>
                </w:tcPr>
                <w:p w14:paraId="0E72710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b/>
                      <w:bCs/>
                      <w:color w:val="000000"/>
                      <w:kern w:val="0"/>
                      <w:sz w:val="21"/>
                      <w:szCs w:val="21"/>
                      <w:lang w:val="en-US" w:eastAsia="zh-CN" w:bidi="ar-SA"/>
                    </w:rPr>
                  </w:pPr>
                  <w:r>
                    <w:rPr>
                      <w:rFonts w:hint="eastAsia" w:ascii="Times New Roman" w:hAnsi="Times New Roman" w:eastAsia="宋体" w:cs="宋体"/>
                      <w:b/>
                      <w:bCs/>
                      <w:color w:val="000000"/>
                      <w:kern w:val="0"/>
                      <w:sz w:val="21"/>
                      <w:szCs w:val="21"/>
                      <w:lang w:val="en-US" w:eastAsia="zh-CN" w:bidi="ar-SA"/>
                    </w:rPr>
                    <w:t>本项目情况</w:t>
                  </w:r>
                </w:p>
              </w:tc>
              <w:tc>
                <w:tcPr>
                  <w:tcW w:w="543" w:type="pct"/>
                  <w:tcBorders>
                    <w:top w:val="single" w:color="auto" w:sz="12" w:space="0"/>
                    <w:right w:val="nil"/>
                  </w:tcBorders>
                  <w:noWrap w:val="0"/>
                  <w:vAlign w:val="center"/>
                </w:tcPr>
                <w:p w14:paraId="06C852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b/>
                      <w:bCs/>
                      <w:color w:val="000000"/>
                      <w:kern w:val="0"/>
                      <w:sz w:val="21"/>
                      <w:szCs w:val="21"/>
                      <w:lang w:val="en-US" w:eastAsia="zh-CN" w:bidi="ar-SA"/>
                    </w:rPr>
                  </w:pPr>
                  <w:r>
                    <w:rPr>
                      <w:rFonts w:hint="eastAsia" w:ascii="Times New Roman" w:hAnsi="Times New Roman" w:eastAsia="宋体" w:cs="宋体"/>
                      <w:b/>
                      <w:bCs/>
                      <w:color w:val="000000"/>
                      <w:kern w:val="0"/>
                      <w:sz w:val="21"/>
                      <w:szCs w:val="21"/>
                      <w:lang w:val="en-US" w:eastAsia="zh-CN" w:bidi="ar-SA"/>
                    </w:rPr>
                    <w:t>是否设置专项</w:t>
                  </w:r>
                </w:p>
              </w:tc>
            </w:tr>
            <w:tr w14:paraId="7B65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pct"/>
                  <w:tcBorders>
                    <w:left w:val="nil"/>
                  </w:tcBorders>
                  <w:noWrap w:val="0"/>
                  <w:vAlign w:val="center"/>
                </w:tcPr>
                <w:p w14:paraId="3A584A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大气</w:t>
                  </w:r>
                </w:p>
              </w:tc>
              <w:tc>
                <w:tcPr>
                  <w:tcW w:w="2096" w:type="pct"/>
                  <w:noWrap w:val="0"/>
                  <w:vAlign w:val="center"/>
                </w:tcPr>
                <w:p w14:paraId="0CDE7BC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排放废气含有毒有害污染物</w:t>
                  </w:r>
                  <w:r>
                    <w:rPr>
                      <w:rFonts w:hint="eastAsia" w:ascii="Times New Roman" w:hAnsi="Times New Roman" w:eastAsia="宋体" w:cs="宋体"/>
                      <w:color w:val="000000"/>
                      <w:kern w:val="0"/>
                      <w:sz w:val="21"/>
                      <w:szCs w:val="21"/>
                      <w:vertAlign w:val="superscript"/>
                      <w:lang w:val="en-US" w:eastAsia="zh-CN" w:bidi="ar-SA"/>
                    </w:rPr>
                    <w:t>①</w:t>
                  </w:r>
                  <w:r>
                    <w:rPr>
                      <w:rFonts w:hint="eastAsia" w:ascii="Times New Roman" w:hAnsi="Times New Roman" w:eastAsia="宋体" w:cs="宋体"/>
                      <w:color w:val="000000"/>
                      <w:kern w:val="0"/>
                      <w:sz w:val="21"/>
                      <w:szCs w:val="21"/>
                      <w:lang w:val="en-US" w:eastAsia="zh-CN" w:bidi="ar-SA"/>
                    </w:rPr>
                    <w:t>、二噁英、苯并[a]芘、氰化物、氯气且厂界外500米范围内有环境空气保护目标</w:t>
                  </w:r>
                  <w:r>
                    <w:rPr>
                      <w:rFonts w:hint="eastAsia" w:ascii="Times New Roman" w:hAnsi="Times New Roman" w:eastAsia="宋体" w:cs="宋体"/>
                      <w:color w:val="000000"/>
                      <w:kern w:val="0"/>
                      <w:sz w:val="21"/>
                      <w:szCs w:val="21"/>
                      <w:vertAlign w:val="superscript"/>
                      <w:lang w:val="en-US" w:eastAsia="zh-CN" w:bidi="ar-SA"/>
                    </w:rPr>
                    <w:t>②</w:t>
                  </w:r>
                  <w:r>
                    <w:rPr>
                      <w:rFonts w:hint="eastAsia" w:ascii="Times New Roman" w:hAnsi="Times New Roman" w:eastAsia="宋体" w:cs="宋体"/>
                      <w:color w:val="000000"/>
                      <w:kern w:val="0"/>
                      <w:sz w:val="21"/>
                      <w:szCs w:val="21"/>
                      <w:lang w:val="en-US" w:eastAsia="zh-CN" w:bidi="ar-SA"/>
                    </w:rPr>
                    <w:t>的建设项目</w:t>
                  </w:r>
                </w:p>
              </w:tc>
              <w:tc>
                <w:tcPr>
                  <w:tcW w:w="1678" w:type="pct"/>
                  <w:noWrap w:val="0"/>
                  <w:vAlign w:val="center"/>
                </w:tcPr>
                <w:p w14:paraId="2E9E4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本项目主要排放大气污染物为颗粒物等</w:t>
                  </w:r>
                </w:p>
              </w:tc>
              <w:tc>
                <w:tcPr>
                  <w:tcW w:w="543" w:type="pct"/>
                  <w:tcBorders>
                    <w:right w:val="nil"/>
                  </w:tcBorders>
                  <w:noWrap w:val="0"/>
                  <w:vAlign w:val="center"/>
                </w:tcPr>
                <w:p w14:paraId="5367790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否</w:t>
                  </w:r>
                </w:p>
              </w:tc>
            </w:tr>
            <w:tr w14:paraId="1C1B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pct"/>
                  <w:tcBorders>
                    <w:left w:val="nil"/>
                  </w:tcBorders>
                  <w:noWrap w:val="0"/>
                  <w:vAlign w:val="center"/>
                </w:tcPr>
                <w:p w14:paraId="1325342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地表水</w:t>
                  </w:r>
                </w:p>
              </w:tc>
              <w:tc>
                <w:tcPr>
                  <w:tcW w:w="2096" w:type="pct"/>
                  <w:noWrap w:val="0"/>
                  <w:vAlign w:val="center"/>
                </w:tcPr>
                <w:p w14:paraId="7E5C42E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新增工业废水直排建设项目（槽罐车外送污水处理厂的除外）；新增废水直排的污水集中处理厂</w:t>
                  </w:r>
                </w:p>
              </w:tc>
              <w:tc>
                <w:tcPr>
                  <w:tcW w:w="1678" w:type="pct"/>
                  <w:noWrap w:val="0"/>
                  <w:vAlign w:val="center"/>
                </w:tcPr>
                <w:p w14:paraId="2D738D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default" w:ascii="Times New Roman" w:hAnsi="Times New Roman" w:eastAsia="宋体" w:cs="Times New Roman"/>
                      <w:color w:val="auto"/>
                      <w:kern w:val="0"/>
                    </w:rPr>
                    <w:t>本项目</w:t>
                  </w:r>
                  <w:r>
                    <w:rPr>
                      <w:rFonts w:hint="eastAsia" w:cs="Times New Roman"/>
                      <w:color w:val="auto"/>
                      <w:kern w:val="0"/>
                      <w:lang w:val="en-US" w:eastAsia="zh-CN"/>
                    </w:rPr>
                    <w:t>无生产废水产生</w:t>
                  </w:r>
                  <w:r>
                    <w:rPr>
                      <w:rFonts w:hint="default" w:ascii="Times New Roman" w:hAnsi="Times New Roman" w:eastAsia="宋体" w:cs="Times New Roman"/>
                      <w:color w:val="auto"/>
                      <w:kern w:val="0"/>
                      <w:lang w:val="en-US" w:eastAsia="zh-CN"/>
                    </w:rPr>
                    <w:t>；</w:t>
                  </w:r>
                  <w:r>
                    <w:rPr>
                      <w:rFonts w:hint="eastAsia" w:cs="Times New Roman"/>
                      <w:color w:val="auto"/>
                      <w:kern w:val="0"/>
                      <w:lang w:val="en-US" w:eastAsia="zh-CN"/>
                    </w:rPr>
                    <w:t>生活污水经化粪池预处理后通过市政污水管网排入惠西污水处理厂进行处理，</w:t>
                  </w:r>
                  <w:r>
                    <w:rPr>
                      <w:rFonts w:hint="default" w:ascii="Times New Roman" w:hAnsi="Times New Roman" w:eastAsia="宋体" w:cs="Times New Roman"/>
                      <w:color w:val="000000"/>
                      <w:kern w:val="0"/>
                      <w:lang w:val="en-US" w:eastAsia="zh-CN"/>
                    </w:rPr>
                    <w:t>项目</w:t>
                  </w:r>
                  <w:r>
                    <w:rPr>
                      <w:rFonts w:hint="default" w:ascii="Times New Roman" w:hAnsi="Times New Roman" w:eastAsia="宋体" w:cs="Times New Roman"/>
                      <w:color w:val="000000"/>
                      <w:kern w:val="0"/>
                    </w:rPr>
                    <w:t>不属于污水集中处理厂项目，不需进行专项评价</w:t>
                  </w:r>
                </w:p>
              </w:tc>
              <w:tc>
                <w:tcPr>
                  <w:tcW w:w="543" w:type="pct"/>
                  <w:tcBorders>
                    <w:right w:val="nil"/>
                  </w:tcBorders>
                  <w:noWrap w:val="0"/>
                  <w:vAlign w:val="center"/>
                </w:tcPr>
                <w:p w14:paraId="3E05AA3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否</w:t>
                  </w:r>
                </w:p>
              </w:tc>
            </w:tr>
            <w:tr w14:paraId="69CA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pct"/>
                  <w:tcBorders>
                    <w:left w:val="nil"/>
                  </w:tcBorders>
                  <w:noWrap w:val="0"/>
                  <w:vAlign w:val="center"/>
                </w:tcPr>
                <w:p w14:paraId="58985F7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环境风险</w:t>
                  </w:r>
                </w:p>
              </w:tc>
              <w:tc>
                <w:tcPr>
                  <w:tcW w:w="2096" w:type="pct"/>
                  <w:noWrap w:val="0"/>
                  <w:vAlign w:val="center"/>
                </w:tcPr>
                <w:p w14:paraId="38DCD3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有毒有害和易燃易爆危险物质存储量超过临界量</w:t>
                  </w:r>
                  <w:r>
                    <w:rPr>
                      <w:rFonts w:hint="eastAsia" w:ascii="Times New Roman" w:hAnsi="Times New Roman" w:eastAsia="宋体" w:cs="宋体"/>
                      <w:color w:val="000000"/>
                      <w:kern w:val="0"/>
                      <w:sz w:val="21"/>
                      <w:szCs w:val="21"/>
                      <w:vertAlign w:val="superscript"/>
                      <w:lang w:val="en-US" w:eastAsia="zh-CN" w:bidi="ar-SA"/>
                    </w:rPr>
                    <w:t>③</w:t>
                  </w:r>
                  <w:r>
                    <w:rPr>
                      <w:rFonts w:hint="eastAsia" w:ascii="Times New Roman" w:hAnsi="Times New Roman" w:eastAsia="宋体" w:cs="宋体"/>
                      <w:color w:val="000000"/>
                      <w:kern w:val="0"/>
                      <w:sz w:val="21"/>
                      <w:szCs w:val="21"/>
                      <w:lang w:val="en-US" w:eastAsia="zh-CN" w:bidi="ar-SA"/>
                    </w:rPr>
                    <w:t>的建设项目</w:t>
                  </w:r>
                </w:p>
              </w:tc>
              <w:tc>
                <w:tcPr>
                  <w:tcW w:w="1678" w:type="pct"/>
                  <w:noWrap w:val="0"/>
                  <w:vAlign w:val="center"/>
                </w:tcPr>
                <w:p w14:paraId="75754C0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本项目</w:t>
                  </w:r>
                  <w:r>
                    <w:rPr>
                      <w:rFonts w:hint="eastAsia" w:cs="宋体"/>
                      <w:color w:val="000000"/>
                      <w:kern w:val="0"/>
                      <w:sz w:val="21"/>
                      <w:szCs w:val="21"/>
                      <w:lang w:val="en-US" w:eastAsia="zh-CN" w:bidi="ar-SA"/>
                    </w:rPr>
                    <w:t>不涉及使用有毒有害和易燃易爆危险物质</w:t>
                  </w:r>
                </w:p>
              </w:tc>
              <w:tc>
                <w:tcPr>
                  <w:tcW w:w="543" w:type="pct"/>
                  <w:tcBorders>
                    <w:right w:val="nil"/>
                  </w:tcBorders>
                  <w:noWrap w:val="0"/>
                  <w:vAlign w:val="center"/>
                </w:tcPr>
                <w:p w14:paraId="60B147C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否</w:t>
                  </w:r>
                </w:p>
              </w:tc>
            </w:tr>
            <w:tr w14:paraId="5475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pct"/>
                  <w:tcBorders>
                    <w:left w:val="nil"/>
                  </w:tcBorders>
                  <w:noWrap w:val="0"/>
                  <w:vAlign w:val="center"/>
                </w:tcPr>
                <w:p w14:paraId="623911D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生态</w:t>
                  </w:r>
                </w:p>
              </w:tc>
              <w:tc>
                <w:tcPr>
                  <w:tcW w:w="2096" w:type="pct"/>
                  <w:noWrap w:val="0"/>
                  <w:vAlign w:val="center"/>
                </w:tcPr>
                <w:p w14:paraId="47EAC73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取水口下游500米范围内有重要水生生物的自然产卵场、索饵场、越冬场和洄游通道的新增河道取水的污染类建设项目</w:t>
                  </w:r>
                </w:p>
              </w:tc>
              <w:tc>
                <w:tcPr>
                  <w:tcW w:w="1678" w:type="pct"/>
                  <w:noWrap w:val="0"/>
                  <w:vAlign w:val="center"/>
                </w:tcPr>
                <w:p w14:paraId="678E13C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不涉及</w:t>
                  </w:r>
                </w:p>
              </w:tc>
              <w:tc>
                <w:tcPr>
                  <w:tcW w:w="543" w:type="pct"/>
                  <w:tcBorders>
                    <w:right w:val="nil"/>
                  </w:tcBorders>
                  <w:noWrap w:val="0"/>
                  <w:vAlign w:val="center"/>
                </w:tcPr>
                <w:p w14:paraId="6E76EFD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否</w:t>
                  </w:r>
                </w:p>
              </w:tc>
            </w:tr>
            <w:tr w14:paraId="0F6E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 w:type="pct"/>
                  <w:tcBorders>
                    <w:left w:val="nil"/>
                  </w:tcBorders>
                  <w:noWrap w:val="0"/>
                  <w:vAlign w:val="center"/>
                </w:tcPr>
                <w:p w14:paraId="5971506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海洋</w:t>
                  </w:r>
                </w:p>
              </w:tc>
              <w:tc>
                <w:tcPr>
                  <w:tcW w:w="2096" w:type="pct"/>
                  <w:noWrap w:val="0"/>
                  <w:vAlign w:val="center"/>
                </w:tcPr>
                <w:p w14:paraId="1CFDF0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直接向海排放污染物的海洋工程建设项目</w:t>
                  </w:r>
                </w:p>
              </w:tc>
              <w:tc>
                <w:tcPr>
                  <w:tcW w:w="1678" w:type="pct"/>
                  <w:noWrap w:val="0"/>
                  <w:vAlign w:val="center"/>
                </w:tcPr>
                <w:p w14:paraId="37AF544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不涉及</w:t>
                  </w:r>
                </w:p>
              </w:tc>
              <w:tc>
                <w:tcPr>
                  <w:tcW w:w="543" w:type="pct"/>
                  <w:tcBorders>
                    <w:right w:val="nil"/>
                  </w:tcBorders>
                  <w:noWrap w:val="0"/>
                  <w:vAlign w:val="center"/>
                </w:tcPr>
                <w:p w14:paraId="4408CE8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否</w:t>
                  </w:r>
                </w:p>
              </w:tc>
            </w:tr>
            <w:tr w14:paraId="4D40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left w:val="nil"/>
                    <w:bottom w:val="single" w:color="auto" w:sz="12" w:space="0"/>
                    <w:right w:val="nil"/>
                  </w:tcBorders>
                  <w:noWrap w:val="0"/>
                  <w:vAlign w:val="center"/>
                </w:tcPr>
                <w:p w14:paraId="1B76AB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left"/>
                    <w:textAlignment w:val="auto"/>
                    <w:rPr>
                      <w:rFonts w:hint="eastAsia" w:ascii="Times New Roman" w:hAnsi="Times New Roman" w:eastAsia="宋体" w:cs="宋体"/>
                      <w:color w:val="000000"/>
                      <w:kern w:val="0"/>
                      <w:sz w:val="16"/>
                      <w:szCs w:val="16"/>
                      <w:lang w:val="en-US" w:eastAsia="zh-CN" w:bidi="ar-SA"/>
                    </w:rPr>
                  </w:pPr>
                  <w:r>
                    <w:rPr>
                      <w:rFonts w:hint="eastAsia" w:ascii="Times New Roman" w:hAnsi="Times New Roman" w:eastAsia="宋体" w:cs="宋体"/>
                      <w:color w:val="000000"/>
                      <w:kern w:val="0"/>
                      <w:sz w:val="16"/>
                      <w:szCs w:val="16"/>
                      <w:lang w:val="en-US" w:eastAsia="zh-CN" w:bidi="ar-SA"/>
                    </w:rPr>
                    <w:t>注：①废气中有毒有害污染物指纳入《有毒有害大气污染物名录》的污染物（不包括无排放标准的污染物）。</w:t>
                  </w:r>
                </w:p>
                <w:p w14:paraId="52CEB7E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left"/>
                    <w:textAlignment w:val="auto"/>
                    <w:rPr>
                      <w:rFonts w:hint="eastAsia" w:ascii="Times New Roman" w:hAnsi="Times New Roman" w:eastAsia="宋体" w:cs="宋体"/>
                      <w:color w:val="000000"/>
                      <w:kern w:val="0"/>
                      <w:sz w:val="16"/>
                      <w:szCs w:val="16"/>
                      <w:lang w:val="en-US" w:eastAsia="zh-CN" w:bidi="ar-SA"/>
                    </w:rPr>
                  </w:pPr>
                  <w:r>
                    <w:rPr>
                      <w:rFonts w:hint="eastAsia" w:ascii="Times New Roman" w:hAnsi="Times New Roman" w:eastAsia="宋体" w:cs="宋体"/>
                      <w:color w:val="000000"/>
                      <w:kern w:val="0"/>
                      <w:sz w:val="16"/>
                      <w:szCs w:val="16"/>
                      <w:lang w:val="en-US" w:eastAsia="zh-CN" w:bidi="ar-SA"/>
                    </w:rPr>
                    <w:t>②环境空气保护目标指自然保护区、风景名胜区、居住区、文化区和农村地区中人群较集中的区域。</w:t>
                  </w:r>
                </w:p>
                <w:p w14:paraId="400F543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63" w:leftChars="-30" w:right="-63" w:rightChars="-30" w:firstLine="0" w:firstLineChars="0"/>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16"/>
                      <w:szCs w:val="16"/>
                      <w:lang w:val="en-US" w:eastAsia="zh-CN" w:bidi="ar-SA"/>
                    </w:rPr>
                    <w:t>③临界量及其计算方法可参考《建设项目环境风险评价技术导则》（HJ 169）附录B、附录C。</w:t>
                  </w:r>
                </w:p>
              </w:tc>
            </w:tr>
          </w:tbl>
          <w:p w14:paraId="5B3D6B5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firstLine="420" w:firstLineChars="200"/>
              <w:jc w:val="left"/>
              <w:textAlignment w:val="auto"/>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宋体"/>
                <w:color w:val="000000"/>
                <w:kern w:val="0"/>
                <w:sz w:val="21"/>
                <w:szCs w:val="21"/>
                <w:lang w:val="en-US" w:eastAsia="zh-CN" w:bidi="ar-SA"/>
              </w:rPr>
              <w:t>根据上表分析可知，本项目不需设置专项评价。</w:t>
            </w:r>
          </w:p>
        </w:tc>
      </w:tr>
      <w:tr w14:paraId="30F7D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97" w:type="dxa"/>
            <w:noWrap w:val="0"/>
            <w:vAlign w:val="center"/>
          </w:tcPr>
          <w:p w14:paraId="285AF8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规划情况</w:t>
            </w:r>
          </w:p>
        </w:tc>
        <w:tc>
          <w:tcPr>
            <w:tcW w:w="7273" w:type="dxa"/>
            <w:gridSpan w:val="3"/>
            <w:noWrap w:val="0"/>
            <w:vAlign w:val="center"/>
          </w:tcPr>
          <w:p w14:paraId="7B251A4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sz w:val="21"/>
                <w:szCs w:val="21"/>
                <w:lang w:val="en-US" w:eastAsia="zh-CN"/>
              </w:rPr>
              <w:t>《惠安县黄塘综合改革建设试点镇总体规划(2011-2030)》</w:t>
            </w:r>
          </w:p>
        </w:tc>
      </w:tr>
      <w:tr w14:paraId="0C8AF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97" w:type="dxa"/>
            <w:noWrap w:val="0"/>
            <w:vAlign w:val="center"/>
          </w:tcPr>
          <w:p w14:paraId="2457ADA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规划环境影响评价情况</w:t>
            </w:r>
          </w:p>
        </w:tc>
        <w:tc>
          <w:tcPr>
            <w:tcW w:w="7273" w:type="dxa"/>
            <w:gridSpan w:val="3"/>
            <w:noWrap w:val="0"/>
            <w:vAlign w:val="center"/>
          </w:tcPr>
          <w:p w14:paraId="665BB8E5">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r>
      <w:tr w14:paraId="75E51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97" w:type="dxa"/>
            <w:noWrap w:val="0"/>
            <w:vAlign w:val="center"/>
          </w:tcPr>
          <w:p w14:paraId="0C5FC0E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规划及规划环境影响评价符合性分析</w:t>
            </w:r>
          </w:p>
        </w:tc>
        <w:tc>
          <w:tcPr>
            <w:tcW w:w="7273" w:type="dxa"/>
            <w:gridSpan w:val="3"/>
            <w:noWrap w:val="0"/>
            <w:vAlign w:val="center"/>
          </w:tcPr>
          <w:p w14:paraId="3B0E75CB">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line="360" w:lineRule="auto"/>
              <w:ind w:left="0" w:leftChars="0" w:right="0" w:firstLine="420" w:firstLineChars="200"/>
              <w:jc w:val="left"/>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与《惠安县黄塘综合改革建设试点镇总体规划(2011-2030)》符合性分析</w:t>
            </w:r>
          </w:p>
          <w:p w14:paraId="600135D6">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line="360" w:lineRule="auto"/>
              <w:ind w:left="0" w:leftChars="0" w:right="0" w:firstLine="420" w:firstLineChars="200"/>
              <w:jc w:val="left"/>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根据不动产权证（闽（2022）惠安县不动产权第0006676号）（见</w:t>
            </w:r>
            <w:r>
              <w:rPr>
                <w:rFonts w:hint="default" w:ascii="Times New Roman" w:hAnsi="Times New Roman" w:cs="Times New Roman"/>
                <w:b/>
                <w:bCs/>
                <w:color w:val="auto"/>
                <w:sz w:val="21"/>
                <w:szCs w:val="21"/>
                <w:lang w:val="en-US" w:eastAsia="zh-CN"/>
              </w:rPr>
              <w:t>附件4</w:t>
            </w:r>
            <w:r>
              <w:rPr>
                <w:rFonts w:hint="default" w:ascii="Times New Roman" w:hAnsi="Times New Roman" w:cs="Times New Roman"/>
                <w:color w:val="auto"/>
                <w:sz w:val="21"/>
                <w:szCs w:val="21"/>
                <w:lang w:val="en-US" w:eastAsia="zh-CN"/>
              </w:rPr>
              <w:t>），本项目用地为工业用地；根据《惠安县黄塘综合改革建设试点镇总体规划(2011-2030)》（见</w:t>
            </w:r>
            <w:r>
              <w:rPr>
                <w:rFonts w:hint="default" w:ascii="Times New Roman" w:hAnsi="Times New Roman" w:cs="Times New Roman"/>
                <w:b/>
                <w:bCs/>
                <w:color w:val="auto"/>
                <w:sz w:val="21"/>
                <w:szCs w:val="21"/>
                <w:lang w:val="en-US" w:eastAsia="zh-CN"/>
              </w:rPr>
              <w:t>附图5</w:t>
            </w:r>
            <w:r>
              <w:rPr>
                <w:rFonts w:hint="default" w:ascii="Times New Roman" w:hAnsi="Times New Roman" w:cs="Times New Roman"/>
                <w:color w:val="auto"/>
                <w:sz w:val="21"/>
                <w:szCs w:val="21"/>
                <w:lang w:val="en-US" w:eastAsia="zh-CN"/>
              </w:rPr>
              <w:t>），项目所在地为研发类工业用地，本项目利用已建成厂房进行过渡性生产，不新建厂房，建设单位承诺，若相关部门要求本项目搬迁以达到规划要求时，本项目应无条件搬迁（见</w:t>
            </w:r>
            <w:r>
              <w:rPr>
                <w:rFonts w:hint="default" w:ascii="Times New Roman" w:hAnsi="Times New Roman" w:cs="Times New Roman"/>
                <w:b/>
                <w:bCs/>
                <w:color w:val="auto"/>
                <w:sz w:val="21"/>
                <w:szCs w:val="21"/>
                <w:lang w:val="en-US" w:eastAsia="zh-CN"/>
              </w:rPr>
              <w:t>附件8</w:t>
            </w:r>
            <w:r>
              <w:rPr>
                <w:rFonts w:hint="default" w:ascii="Times New Roman" w:hAnsi="Times New Roman" w:cs="Times New Roman"/>
                <w:color w:val="auto"/>
                <w:sz w:val="21"/>
                <w:szCs w:val="21"/>
                <w:lang w:val="en-US" w:eastAsia="zh-CN"/>
              </w:rPr>
              <w:t>）。</w:t>
            </w:r>
          </w:p>
        </w:tc>
      </w:tr>
      <w:tr w14:paraId="672EE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97" w:type="dxa"/>
            <w:noWrap w:val="0"/>
            <w:vAlign w:val="center"/>
          </w:tcPr>
          <w:p w14:paraId="6B44F2D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其他符合性分析</w:t>
            </w:r>
          </w:p>
        </w:tc>
        <w:tc>
          <w:tcPr>
            <w:tcW w:w="7273" w:type="dxa"/>
            <w:gridSpan w:val="3"/>
            <w:noWrap w:val="0"/>
            <w:vAlign w:val="center"/>
          </w:tcPr>
          <w:p w14:paraId="770A5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both"/>
              <w:textAlignment w:val="auto"/>
              <w:outlineLvl w:val="9"/>
              <w:rPr>
                <w:rFonts w:hint="default"/>
                <w:color w:val="auto"/>
              </w:rPr>
            </w:pPr>
            <w:r>
              <w:rPr>
                <w:rFonts w:hint="default"/>
                <w:b/>
                <w:bCs/>
                <w:color w:val="auto"/>
                <w:lang w:eastAsia="zh-CN"/>
              </w:rPr>
              <w:t>（</w:t>
            </w:r>
            <w:r>
              <w:rPr>
                <w:rFonts w:hint="default"/>
                <w:b/>
                <w:bCs/>
                <w:color w:val="auto"/>
                <w:lang w:val="en-US" w:eastAsia="zh-CN"/>
              </w:rPr>
              <w:t>1</w:t>
            </w:r>
            <w:r>
              <w:rPr>
                <w:rFonts w:hint="default"/>
                <w:b/>
                <w:bCs/>
                <w:color w:val="auto"/>
                <w:lang w:eastAsia="zh-CN"/>
              </w:rPr>
              <w:t>）</w:t>
            </w:r>
            <w:r>
              <w:rPr>
                <w:rFonts w:hint="eastAsia"/>
                <w:b/>
                <w:bCs/>
                <w:color w:val="auto"/>
                <w:lang w:val="en-US" w:eastAsia="zh-CN"/>
              </w:rPr>
              <w:t>选址</w:t>
            </w:r>
            <w:r>
              <w:rPr>
                <w:rFonts w:hint="default"/>
                <w:b/>
                <w:bCs/>
                <w:color w:val="auto"/>
              </w:rPr>
              <w:t>符合性分析</w:t>
            </w:r>
          </w:p>
          <w:p w14:paraId="191F63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color w:val="auto"/>
                <w:lang w:val="en-US" w:eastAsia="zh-CN"/>
              </w:rPr>
            </w:pPr>
            <w:r>
              <w:rPr>
                <w:rFonts w:hint="default"/>
                <w:color w:val="auto"/>
                <w:lang w:val="en-US" w:eastAsia="zh-CN"/>
              </w:rPr>
              <w:t>项目选址于泉州市惠安县城西台商创业基地（黄塘镇前郭村）</w:t>
            </w:r>
            <w:r>
              <w:rPr>
                <w:rFonts w:hint="default" w:ascii="Times New Roman" w:hAnsi="Times New Roman" w:eastAsia="宋体" w:cs="Times New Roman"/>
                <w:color w:val="auto"/>
                <w:sz w:val="21"/>
                <w:szCs w:val="21"/>
              </w:rPr>
              <w:t>，根据</w:t>
            </w:r>
            <w:r>
              <w:rPr>
                <w:rFonts w:hint="eastAsia" w:cs="Times New Roman"/>
                <w:color w:val="auto"/>
                <w:sz w:val="21"/>
                <w:szCs w:val="21"/>
                <w:lang w:val="en-US" w:eastAsia="zh-CN"/>
              </w:rPr>
              <w:t>建设单位</w:t>
            </w:r>
            <w:r>
              <w:rPr>
                <w:rFonts w:hint="default" w:ascii="Times New Roman" w:hAnsi="Times New Roman" w:eastAsia="宋体" w:cs="Times New Roman"/>
                <w:color w:val="auto"/>
                <w:sz w:val="21"/>
                <w:szCs w:val="21"/>
              </w:rPr>
              <w:t>提供的</w:t>
            </w:r>
            <w:r>
              <w:rPr>
                <w:rFonts w:hint="eastAsia" w:cs="Times New Roman"/>
                <w:color w:val="auto"/>
                <w:sz w:val="21"/>
                <w:szCs w:val="21"/>
                <w:lang w:val="en-US" w:eastAsia="zh-CN"/>
              </w:rPr>
              <w:t>不动产权证</w:t>
            </w:r>
            <w:r>
              <w:rPr>
                <w:rFonts w:hint="default" w:ascii="Times New Roman" w:hAnsi="Times New Roman" w:eastAsia="宋体" w:cs="Times New Roman"/>
                <w:color w:val="auto"/>
                <w:sz w:val="21"/>
                <w:szCs w:val="21"/>
                <w:lang w:eastAsia="zh-CN"/>
              </w:rPr>
              <w:t>明</w:t>
            </w:r>
            <w:r>
              <w:rPr>
                <w:rFonts w:hint="eastAsia" w:cs="Times New Roman"/>
                <w:color w:val="auto"/>
                <w:sz w:val="21"/>
                <w:szCs w:val="21"/>
                <w:lang w:val="en-US" w:eastAsia="zh-CN"/>
              </w:rPr>
              <w:t>闽2022（惠安县）不动产权第0006676号</w:t>
            </w:r>
            <w:r>
              <w:rPr>
                <w:rFonts w:hint="default" w:ascii="Times New Roman" w:hAnsi="Times New Roman" w:eastAsia="宋体" w:cs="Times New Roman"/>
                <w:color w:val="auto"/>
                <w:sz w:val="21"/>
                <w:szCs w:val="21"/>
              </w:rPr>
              <w:t>显示该土地性为工业用地</w:t>
            </w:r>
            <w:r>
              <w:rPr>
                <w:rFonts w:hint="default"/>
                <w:color w:val="auto"/>
                <w:lang w:val="en-US" w:eastAsia="zh-CN"/>
              </w:rPr>
              <w:t>。根据《惠安县黄塘综合改革建设试点镇总体规划</w:t>
            </w:r>
            <w:r>
              <w:rPr>
                <w:rFonts w:hint="eastAsia"/>
                <w:color w:val="auto"/>
                <w:lang w:val="en-US" w:eastAsia="zh-CN"/>
              </w:rPr>
              <w:t>（</w:t>
            </w:r>
            <w:r>
              <w:rPr>
                <w:rFonts w:hint="default"/>
                <w:color w:val="auto"/>
                <w:lang w:val="en-US" w:eastAsia="zh-CN"/>
              </w:rPr>
              <w:t>2011-2030</w:t>
            </w:r>
            <w:r>
              <w:rPr>
                <w:rFonts w:hint="eastAsia"/>
                <w:color w:val="auto"/>
                <w:lang w:val="en-US" w:eastAsia="zh-CN"/>
              </w:rPr>
              <w:t>）</w:t>
            </w:r>
            <w:r>
              <w:rPr>
                <w:rFonts w:hint="default"/>
                <w:color w:val="auto"/>
                <w:lang w:val="en-US" w:eastAsia="zh-CN"/>
              </w:rPr>
              <w:t>》，项目所在地为研发类工业用地，本项目利用已建成厂房进行过渡性生产，不新建厂房，建设单位承诺，若相关部门要求本项目搬迁以达到规划要求时，本项目应无条件搬迁。</w:t>
            </w:r>
          </w:p>
          <w:p w14:paraId="31D43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outlineLvl w:val="9"/>
              <w:rPr>
                <w:rFonts w:hint="default"/>
                <w:b/>
                <w:bCs/>
                <w:color w:val="auto"/>
              </w:rPr>
            </w:pPr>
            <w:r>
              <w:rPr>
                <w:rFonts w:hint="default"/>
                <w:b/>
                <w:bCs/>
                <w:color w:val="auto"/>
                <w:lang w:eastAsia="zh-CN"/>
              </w:rPr>
              <w:t>（</w:t>
            </w:r>
            <w:r>
              <w:rPr>
                <w:rFonts w:hint="eastAsia"/>
                <w:b/>
                <w:bCs/>
                <w:color w:val="auto"/>
                <w:lang w:val="en-US" w:eastAsia="zh-CN"/>
              </w:rPr>
              <w:t>2</w:t>
            </w:r>
            <w:r>
              <w:rPr>
                <w:rFonts w:hint="default"/>
                <w:b/>
                <w:bCs/>
                <w:color w:val="auto"/>
                <w:lang w:eastAsia="zh-CN"/>
              </w:rPr>
              <w:t>）</w:t>
            </w:r>
            <w:r>
              <w:rPr>
                <w:rFonts w:hint="default"/>
                <w:b/>
                <w:bCs/>
                <w:color w:val="auto"/>
              </w:rPr>
              <w:t>产业政策符合性分析</w:t>
            </w:r>
          </w:p>
          <w:p w14:paraId="5276D08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firstLine="420" w:firstLineChars="200"/>
              <w:jc w:val="both"/>
              <w:textAlignment w:val="auto"/>
              <w:outlineLvl w:val="9"/>
              <w:rPr>
                <w:rFonts w:hint="default"/>
                <w:color w:val="auto"/>
              </w:rPr>
            </w:pPr>
            <w:r>
              <w:rPr>
                <w:rFonts w:hint="default"/>
                <w:color w:val="auto"/>
              </w:rPr>
              <w:t>本项目选址于</w:t>
            </w:r>
            <w:r>
              <w:rPr>
                <w:rFonts w:hint="default"/>
                <w:color w:val="auto"/>
                <w:lang w:val="en-US" w:eastAsia="zh-CN"/>
              </w:rPr>
              <w:t>泉州市惠安县城西台商创业基地（黄塘镇前郭村）</w:t>
            </w:r>
            <w:r>
              <w:rPr>
                <w:rFonts w:hint="eastAsia"/>
                <w:color w:val="auto"/>
                <w:lang w:val="en-US" w:eastAsia="zh-CN"/>
              </w:rPr>
              <w:t>，从事卫生巾、护垫、经期裤</w:t>
            </w:r>
            <w:r>
              <w:rPr>
                <w:rFonts w:hint="eastAsia"/>
                <w:color w:val="auto"/>
                <w:sz w:val="21"/>
                <w:szCs w:val="21"/>
                <w:lang w:val="en-US" w:eastAsia="zh-CN"/>
              </w:rPr>
              <w:t>生产</w:t>
            </w:r>
            <w:r>
              <w:rPr>
                <w:rFonts w:hint="default"/>
                <w:color w:val="auto"/>
              </w:rPr>
              <w:t>，对照《产业结构调整指导目录（2024年本）》可知，本项目所采用的工艺、设备等不属于《产业结构调整指导目录（2024年本）》中鼓励类、限制类和淘汰类建设项目，属于允许建设项目，可见项目的生产符合目前国家产业政策。</w:t>
            </w:r>
          </w:p>
          <w:p w14:paraId="5C132F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outlineLvl w:val="9"/>
              <w:rPr>
                <w:rFonts w:hint="default"/>
                <w:b/>
                <w:bCs/>
                <w:color w:val="auto"/>
                <w:lang w:eastAsia="zh-CN"/>
              </w:rPr>
            </w:pPr>
            <w:r>
              <w:rPr>
                <w:rFonts w:hint="eastAsia"/>
                <w:b/>
                <w:bCs/>
                <w:color w:val="auto"/>
                <w:lang w:eastAsia="zh-CN"/>
              </w:rPr>
              <w:t>（</w:t>
            </w:r>
            <w:r>
              <w:rPr>
                <w:rFonts w:hint="eastAsia"/>
                <w:b/>
                <w:bCs/>
                <w:color w:val="auto"/>
                <w:lang w:val="en-US" w:eastAsia="zh-CN"/>
              </w:rPr>
              <w:t>3</w:t>
            </w:r>
            <w:r>
              <w:rPr>
                <w:rFonts w:hint="eastAsia"/>
                <w:b/>
                <w:bCs/>
                <w:color w:val="auto"/>
                <w:lang w:eastAsia="zh-CN"/>
              </w:rPr>
              <w:t>）“</w:t>
            </w:r>
            <w:r>
              <w:rPr>
                <w:rFonts w:hint="default"/>
                <w:b/>
                <w:bCs/>
                <w:color w:val="auto"/>
              </w:rPr>
              <w:t>三线一单</w:t>
            </w:r>
            <w:r>
              <w:rPr>
                <w:rFonts w:hint="eastAsia"/>
                <w:b/>
                <w:bCs/>
                <w:color w:val="auto"/>
                <w:lang w:eastAsia="zh-CN"/>
              </w:rPr>
              <w:t>”</w:t>
            </w:r>
            <w:r>
              <w:rPr>
                <w:rFonts w:hint="default"/>
                <w:b/>
                <w:bCs/>
                <w:color w:val="auto"/>
              </w:rPr>
              <w:t>控制要求符合性分析</w:t>
            </w:r>
          </w:p>
          <w:p w14:paraId="2C209B7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firstLine="420" w:firstLineChars="200"/>
              <w:jc w:val="both"/>
              <w:textAlignment w:val="auto"/>
              <w:outlineLvl w:val="9"/>
              <w:rPr>
                <w:rFonts w:hint="default"/>
                <w:color w:val="auto"/>
              </w:rPr>
            </w:pPr>
            <w:r>
              <w:rPr>
                <w:rFonts w:hint="default"/>
                <w:color w:val="auto"/>
              </w:rPr>
              <w:t>1）生态保护红线</w:t>
            </w:r>
          </w:p>
          <w:p w14:paraId="34E115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default"/>
                <w:color w:val="auto"/>
              </w:rPr>
            </w:pPr>
            <w:r>
              <w:rPr>
                <w:rFonts w:hint="eastAsia"/>
                <w:color w:val="auto"/>
                <w:lang w:val="en-US" w:eastAsia="zh-CN"/>
              </w:rPr>
              <w:t>本</w:t>
            </w:r>
            <w:r>
              <w:rPr>
                <w:rFonts w:hint="default"/>
                <w:color w:val="auto"/>
              </w:rPr>
              <w:t>项目位于</w:t>
            </w:r>
            <w:r>
              <w:rPr>
                <w:rFonts w:hint="default"/>
                <w:color w:val="auto"/>
                <w:lang w:val="en-US" w:eastAsia="zh-CN"/>
              </w:rPr>
              <w:t>泉州市惠安县城西台商创业基地（黄塘镇前郭村）</w:t>
            </w:r>
            <w:r>
              <w:rPr>
                <w:rFonts w:hint="default"/>
                <w:color w:val="auto"/>
                <w:lang w:eastAsia="zh-CN"/>
              </w:rPr>
              <w:t>。</w:t>
            </w:r>
            <w:r>
              <w:rPr>
                <w:rFonts w:hint="default"/>
                <w:color w:val="auto"/>
              </w:rPr>
              <w:t>项目不在饮用水源、风景名胜区、自然保护区等生态保护区内，满足生态保护红线要求。</w:t>
            </w:r>
          </w:p>
          <w:p w14:paraId="3261A81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firstLine="420" w:firstLineChars="200"/>
              <w:jc w:val="both"/>
              <w:textAlignment w:val="auto"/>
              <w:outlineLvl w:val="9"/>
              <w:rPr>
                <w:rFonts w:hint="default"/>
                <w:color w:val="auto"/>
              </w:rPr>
            </w:pPr>
            <w:r>
              <w:rPr>
                <w:rFonts w:hint="default"/>
                <w:color w:val="auto"/>
              </w:rPr>
              <w:t>2）环境质量底线</w:t>
            </w:r>
          </w:p>
          <w:p w14:paraId="6F91BE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default"/>
                <w:color w:val="auto"/>
              </w:rPr>
            </w:pPr>
            <w:r>
              <w:rPr>
                <w:rFonts w:hint="default"/>
                <w:color w:val="auto"/>
              </w:rPr>
              <w:t>项目所在区域的环境质量底线为：环境空气质量目标为《环境空气质量标准》（GB3095-2012）二级标准及其修改单；周边地表水体质量目标为《地表水环境质量标准》（GB3838-2002）中的III类水质标准；声环境质量目标为《声环境质量标准》（GB3096-2008）3类。</w:t>
            </w:r>
          </w:p>
          <w:p w14:paraId="1DEC9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default"/>
                <w:color w:val="auto"/>
              </w:rPr>
            </w:pPr>
            <w:r>
              <w:rPr>
                <w:rFonts w:hint="default"/>
                <w:color w:val="auto"/>
              </w:rPr>
              <w:t>项目生产过程中</w:t>
            </w:r>
            <w:r>
              <w:rPr>
                <w:rFonts w:hint="eastAsia"/>
                <w:color w:val="auto"/>
                <w:lang w:eastAsia="zh-CN"/>
              </w:rPr>
              <w:t>废</w:t>
            </w:r>
            <w:r>
              <w:rPr>
                <w:rFonts w:hint="default"/>
                <w:color w:val="auto"/>
                <w:lang w:eastAsia="zh-CN"/>
              </w:rPr>
              <w:t>水</w:t>
            </w:r>
            <w:r>
              <w:rPr>
                <w:rFonts w:hint="default"/>
                <w:color w:val="auto"/>
              </w:rPr>
              <w:t>、废气</w:t>
            </w:r>
            <w:r>
              <w:rPr>
                <w:rFonts w:hint="eastAsia"/>
                <w:color w:val="auto"/>
                <w:lang w:eastAsia="zh-CN"/>
              </w:rPr>
              <w:t>、</w:t>
            </w:r>
            <w:r>
              <w:rPr>
                <w:rFonts w:hint="eastAsia"/>
                <w:color w:val="auto"/>
                <w:lang w:val="en-US" w:eastAsia="zh-CN"/>
              </w:rPr>
              <w:t>噪声</w:t>
            </w:r>
            <w:r>
              <w:rPr>
                <w:rFonts w:hint="default"/>
                <w:color w:val="auto"/>
              </w:rPr>
              <w:t>达标，固废做到无害化处置。采取本环评提出的各项污染防治措施后，项目排放的污染物不会对区域环境质量底线造成冲击。</w:t>
            </w:r>
          </w:p>
          <w:p w14:paraId="58731B0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firstLine="420" w:firstLineChars="200"/>
              <w:jc w:val="both"/>
              <w:textAlignment w:val="auto"/>
              <w:outlineLvl w:val="9"/>
              <w:rPr>
                <w:rFonts w:hint="default"/>
                <w:color w:val="auto"/>
              </w:rPr>
            </w:pPr>
            <w:r>
              <w:rPr>
                <w:rFonts w:hint="default"/>
                <w:color w:val="auto"/>
              </w:rPr>
              <w:t>3）资源利用上线</w:t>
            </w:r>
          </w:p>
          <w:p w14:paraId="5A0D25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firstLine="420" w:firstLineChars="200"/>
              <w:jc w:val="both"/>
              <w:textAlignment w:val="auto"/>
              <w:outlineLvl w:val="9"/>
              <w:rPr>
                <w:rFonts w:hint="default"/>
                <w:color w:val="auto"/>
              </w:rPr>
            </w:pPr>
            <w:r>
              <w:rPr>
                <w:rFonts w:hint="default"/>
                <w:color w:val="auto"/>
              </w:rPr>
              <w:t>本项目用水主要来源市政供水管网</w:t>
            </w:r>
            <w:r>
              <w:rPr>
                <w:rFonts w:hint="eastAsia"/>
                <w:color w:val="auto"/>
                <w:sz w:val="21"/>
                <w:szCs w:val="21"/>
                <w:lang w:eastAsia="zh-CN"/>
              </w:rPr>
              <w:t>，</w:t>
            </w:r>
            <w:r>
              <w:rPr>
                <w:rFonts w:hint="eastAsia" w:ascii="Times New Roman" w:hAnsi="Times New Roman" w:eastAsia="宋体" w:cs="Times New Roman"/>
                <w:color w:val="auto"/>
                <w:kern w:val="2"/>
                <w:sz w:val="21"/>
                <w:szCs w:val="24"/>
                <w:lang w:val="en-US" w:eastAsia="zh-CN" w:bidi="ar-SA"/>
              </w:rPr>
              <w:t>用电主要来源市政供电管网</w:t>
            </w:r>
            <w:r>
              <w:rPr>
                <w:rFonts w:hint="default"/>
                <w:color w:val="auto"/>
              </w:rPr>
              <w:t>。本项目建成运行后通过内部管理、设备选择、原辅材料的选用和管理、废物综合处置、污染治理等多方面采取合理可行的防治措施，以</w:t>
            </w:r>
            <w:r>
              <w:rPr>
                <w:rFonts w:hint="eastAsia"/>
                <w:color w:val="auto"/>
                <w:lang w:eastAsia="zh-CN"/>
              </w:rPr>
              <w:t>“</w:t>
            </w:r>
            <w:r>
              <w:rPr>
                <w:rFonts w:hint="default"/>
                <w:color w:val="auto"/>
              </w:rPr>
              <w:t>节能、降耗、减污</w:t>
            </w:r>
            <w:r>
              <w:rPr>
                <w:rFonts w:hint="eastAsia"/>
                <w:color w:val="auto"/>
                <w:lang w:eastAsia="zh-CN"/>
              </w:rPr>
              <w:t>”</w:t>
            </w:r>
            <w:r>
              <w:rPr>
                <w:rFonts w:hint="default"/>
                <w:color w:val="auto"/>
              </w:rPr>
              <w:t>为目标，有效地控制污染。项目的资源利用不会突破区域的资源利用上线。</w:t>
            </w:r>
          </w:p>
          <w:p w14:paraId="69D7519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firstLine="420" w:firstLineChars="200"/>
              <w:jc w:val="both"/>
              <w:textAlignment w:val="auto"/>
              <w:outlineLvl w:val="9"/>
              <w:rPr>
                <w:rFonts w:hint="default"/>
                <w:color w:val="auto"/>
              </w:rPr>
            </w:pPr>
            <w:r>
              <w:rPr>
                <w:rFonts w:hint="default"/>
                <w:color w:val="auto"/>
              </w:rPr>
              <w:t>4）环境准入负面清单</w:t>
            </w:r>
          </w:p>
          <w:p w14:paraId="4ED1EF1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firstLine="420" w:firstLineChars="200"/>
              <w:jc w:val="both"/>
              <w:textAlignment w:val="auto"/>
              <w:outlineLvl w:val="9"/>
              <w:rPr>
                <w:rFonts w:hint="default"/>
                <w:color w:val="auto"/>
              </w:rPr>
            </w:pPr>
            <w:r>
              <w:rPr>
                <w:rFonts w:hint="default"/>
                <w:color w:val="auto"/>
              </w:rPr>
              <w:t>对照</w:t>
            </w:r>
            <w:r>
              <w:rPr>
                <w:rFonts w:hint="default"/>
                <w:color w:val="auto"/>
                <w:lang w:eastAsia="zh-CN"/>
              </w:rPr>
              <w:t>《市场准入负面清单》（20</w:t>
            </w:r>
            <w:r>
              <w:rPr>
                <w:rFonts w:hint="eastAsia"/>
                <w:color w:val="auto"/>
                <w:lang w:val="en-US" w:eastAsia="zh-CN"/>
              </w:rPr>
              <w:t>22</w:t>
            </w:r>
            <w:r>
              <w:rPr>
                <w:rFonts w:hint="default"/>
                <w:color w:val="auto"/>
                <w:lang w:eastAsia="zh-CN"/>
              </w:rPr>
              <w:t>年版）</w:t>
            </w:r>
            <w:r>
              <w:rPr>
                <w:rFonts w:hint="default"/>
                <w:color w:val="auto"/>
              </w:rPr>
              <w:t>，本项目不属于禁止、限制类。</w:t>
            </w:r>
          </w:p>
          <w:p w14:paraId="3F8B787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default"/>
                <w:color w:val="auto"/>
              </w:rPr>
            </w:pPr>
            <w:r>
              <w:rPr>
                <w:rFonts w:hint="default"/>
                <w:color w:val="auto"/>
              </w:rPr>
              <w:t>综上所述，项目不在负面清单内，符合环境准入要求。</w:t>
            </w:r>
          </w:p>
          <w:p w14:paraId="0B39B63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2" w:firstLineChars="200"/>
              <w:textAlignment w:val="auto"/>
              <w:rPr>
                <w:rFonts w:hint="default"/>
                <w:b/>
                <w:bCs/>
                <w:color w:val="auto"/>
                <w:lang w:val="en-US" w:eastAsia="zh-CN"/>
              </w:rPr>
            </w:pPr>
            <w:r>
              <w:rPr>
                <w:rFonts w:hint="eastAsia"/>
                <w:b/>
                <w:bCs/>
                <w:color w:val="auto"/>
                <w:lang w:eastAsia="zh-CN"/>
              </w:rPr>
              <w:t>（</w:t>
            </w:r>
            <w:r>
              <w:rPr>
                <w:rFonts w:hint="eastAsia"/>
                <w:b/>
                <w:bCs/>
                <w:color w:val="auto"/>
                <w:lang w:val="en-US" w:eastAsia="zh-CN"/>
              </w:rPr>
              <w:t>4</w:t>
            </w:r>
            <w:r>
              <w:rPr>
                <w:rFonts w:hint="eastAsia"/>
                <w:b/>
                <w:bCs/>
                <w:color w:val="auto"/>
                <w:lang w:eastAsia="zh-CN"/>
              </w:rPr>
              <w:t>）</w:t>
            </w:r>
            <w:r>
              <w:rPr>
                <w:rFonts w:hint="default"/>
                <w:b/>
                <w:bCs/>
                <w:color w:val="auto"/>
                <w:lang w:val="en-US" w:eastAsia="zh-CN"/>
              </w:rPr>
              <w:t>环境功能区划符合性分析</w:t>
            </w:r>
          </w:p>
          <w:p w14:paraId="7EAE4E3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default"/>
                <w:color w:val="auto"/>
                <w:lang w:val="en-US" w:eastAsia="zh-CN"/>
              </w:rPr>
            </w:pPr>
            <w:r>
              <w:rPr>
                <w:rFonts w:hint="default"/>
                <w:color w:val="auto"/>
                <w:lang w:val="en-US" w:eastAsia="zh-CN"/>
              </w:rPr>
              <w:t>A.水环境</w:t>
            </w:r>
          </w:p>
          <w:p w14:paraId="1143E40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default"/>
                <w:color w:val="auto"/>
                <w:lang w:val="en-US" w:eastAsia="zh-CN"/>
              </w:rPr>
            </w:pPr>
            <w:r>
              <w:rPr>
                <w:rFonts w:hint="default"/>
                <w:color w:val="auto"/>
                <w:lang w:val="en-US" w:eastAsia="zh-CN"/>
              </w:rPr>
              <w:t>项目</w:t>
            </w:r>
            <w:r>
              <w:rPr>
                <w:rFonts w:hint="eastAsia"/>
                <w:color w:val="auto"/>
                <w:lang w:val="en-US" w:eastAsia="zh-CN"/>
              </w:rPr>
              <w:t>无生产废水，生活污水</w:t>
            </w:r>
            <w:r>
              <w:rPr>
                <w:rFonts w:hint="default" w:ascii="Times New Roman" w:hAnsi="Times New Roman" w:eastAsia="宋体" w:cs="Times New Roman"/>
                <w:color w:val="auto"/>
              </w:rPr>
              <w:t>经化粪池预处理</w:t>
            </w:r>
            <w:r>
              <w:rPr>
                <w:rFonts w:hint="eastAsia" w:cs="Times New Roman"/>
                <w:color w:val="auto"/>
                <w:lang w:val="en-US" w:eastAsia="zh-CN"/>
              </w:rPr>
              <w:t>后</w:t>
            </w:r>
            <w:r>
              <w:rPr>
                <w:rFonts w:hint="default" w:ascii="Times New Roman" w:hAnsi="Times New Roman" w:eastAsia="宋体" w:cs="Times New Roman"/>
                <w:color w:val="auto"/>
              </w:rPr>
              <w:t>由片区污水管网纳入</w:t>
            </w:r>
            <w:r>
              <w:rPr>
                <w:rFonts w:hint="eastAsia" w:cs="Times New Roman"/>
                <w:color w:val="auto"/>
                <w:lang w:val="en-US" w:eastAsia="zh-CN"/>
              </w:rPr>
              <w:t>惠西</w:t>
            </w:r>
            <w:r>
              <w:rPr>
                <w:rFonts w:hint="default" w:ascii="Times New Roman" w:hAnsi="Times New Roman" w:eastAsia="宋体" w:cs="Times New Roman"/>
                <w:color w:val="auto"/>
                <w:lang w:eastAsia="zh-CN"/>
              </w:rPr>
              <w:t>污水处理厂</w:t>
            </w:r>
            <w:r>
              <w:rPr>
                <w:rFonts w:hint="default" w:ascii="Times New Roman" w:hAnsi="Times New Roman" w:eastAsia="宋体" w:cs="Times New Roman"/>
                <w:color w:val="auto"/>
              </w:rPr>
              <w:t>统一处理，</w:t>
            </w:r>
            <w:r>
              <w:rPr>
                <w:rFonts w:hint="default"/>
                <w:color w:val="auto"/>
                <w:lang w:val="en-US" w:eastAsia="zh-CN"/>
              </w:rPr>
              <w:t>项目排污不会对</w:t>
            </w:r>
            <w:r>
              <w:rPr>
                <w:rFonts w:hint="eastAsia"/>
                <w:color w:val="auto"/>
                <w:lang w:val="en-US" w:eastAsia="zh-CN"/>
              </w:rPr>
              <w:t>黄塘溪</w:t>
            </w:r>
            <w:r>
              <w:rPr>
                <w:rFonts w:hint="default"/>
                <w:color w:val="auto"/>
                <w:lang w:val="en-US" w:eastAsia="zh-CN"/>
              </w:rPr>
              <w:t>水质有直接的影响。项目建设符合水环境功能区划的要求，不改变区域水环境功能区划。</w:t>
            </w:r>
          </w:p>
          <w:p w14:paraId="0A7FE62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default"/>
                <w:color w:val="auto"/>
                <w:lang w:val="en-US" w:eastAsia="zh-CN"/>
              </w:rPr>
            </w:pPr>
            <w:r>
              <w:rPr>
                <w:rFonts w:hint="default"/>
                <w:color w:val="auto"/>
                <w:lang w:val="en-US" w:eastAsia="zh-CN"/>
              </w:rPr>
              <w:t>B.大气环境</w:t>
            </w:r>
          </w:p>
          <w:p w14:paraId="46C9C63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Fonts w:hint="default"/>
                <w:color w:val="auto"/>
                <w:lang w:val="en-US" w:eastAsia="zh-CN"/>
              </w:rPr>
            </w:pPr>
            <w:r>
              <w:rPr>
                <w:rFonts w:hint="default"/>
                <w:color w:val="auto"/>
                <w:lang w:val="en-US" w:eastAsia="zh-CN"/>
              </w:rPr>
              <w:t>项目所处区域环境空气质量功能类别为二类功能区，执行《环境空气质量标准》（GB3095-2012）二级标准</w:t>
            </w:r>
            <w:r>
              <w:rPr>
                <w:rFonts w:hint="default"/>
                <w:color w:val="auto"/>
              </w:rPr>
              <w:t>及其修改单</w:t>
            </w:r>
            <w:r>
              <w:rPr>
                <w:rFonts w:hint="default"/>
                <w:color w:val="auto"/>
                <w:lang w:val="en-US" w:eastAsia="zh-CN"/>
              </w:rPr>
              <w:t>。</w:t>
            </w:r>
            <w:r>
              <w:rPr>
                <w:rFonts w:hint="default" w:ascii="Times New Roman" w:hAnsi="Times New Roman" w:eastAsia="宋体" w:cs="Times New Roman"/>
                <w:color w:val="auto"/>
                <w:kern w:val="0"/>
              </w:rPr>
              <w:t>项目所在区域环境空气质量现状良好，项目特征因子符合本评价提出的环境质量控制标准。项目废气经处理达标后正常排放对周边大气环境影响小，项目建设与大气环境功能区划相适应。</w:t>
            </w:r>
          </w:p>
          <w:p w14:paraId="6EC87D1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default"/>
                <w:color w:val="auto"/>
                <w:lang w:val="en-US" w:eastAsia="zh-CN"/>
              </w:rPr>
            </w:pPr>
            <w:r>
              <w:rPr>
                <w:rFonts w:hint="default"/>
                <w:color w:val="auto"/>
                <w:lang w:val="en-US" w:eastAsia="zh-CN"/>
              </w:rPr>
              <w:t>C.声环境</w:t>
            </w:r>
          </w:p>
          <w:p w14:paraId="0430136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Fonts w:hint="default"/>
                <w:color w:val="auto"/>
                <w:lang w:val="en-US" w:eastAsia="zh-CN"/>
              </w:rPr>
            </w:pPr>
            <w:r>
              <w:rPr>
                <w:rFonts w:hint="default"/>
                <w:color w:val="auto"/>
                <w:lang w:val="en-US" w:eastAsia="zh-CN"/>
              </w:rPr>
              <w:t>本项目厂界四周满足《声环境质量标准》GB3096-2008中的3类环境噪声限值。根据环评期间的环境噪声现状监测结果，项目区域声环境现状良可满足声环境功能区划的要求。</w:t>
            </w:r>
          </w:p>
          <w:p w14:paraId="5951A19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2" w:firstLineChars="200"/>
              <w:textAlignment w:val="auto"/>
              <w:rPr>
                <w:rFonts w:hint="default"/>
                <w:color w:val="auto"/>
                <w:lang w:val="en-US" w:eastAsia="zh-CN"/>
              </w:rPr>
            </w:pPr>
            <w:r>
              <w:rPr>
                <w:rFonts w:hint="default"/>
                <w:b/>
                <w:bCs/>
                <w:color w:val="auto"/>
                <w:lang w:val="en-US" w:eastAsia="zh-CN"/>
              </w:rPr>
              <w:t>（5）周边环境相容性分析</w:t>
            </w:r>
          </w:p>
          <w:p w14:paraId="4B903980">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ind w:right="0" w:firstLine="420" w:firstLineChars="200"/>
              <w:jc w:val="both"/>
              <w:textAlignment w:val="auto"/>
              <w:rPr>
                <w:rFonts w:hint="eastAsia" w:ascii="Times New Roman" w:hAnsi="Times New Roman" w:eastAsia="宋体" w:cs="Times New Roman"/>
                <w:color w:val="auto"/>
                <w:kern w:val="2"/>
                <w:sz w:val="21"/>
                <w:szCs w:val="24"/>
                <w:lang w:val="en-US" w:eastAsia="zh-CN" w:bidi="ar-SA"/>
              </w:rPr>
            </w:pPr>
            <w:r>
              <w:rPr>
                <w:rFonts w:hint="default"/>
                <w:color w:val="auto"/>
                <w:sz w:val="21"/>
                <w:szCs w:val="21"/>
                <w:lang w:val="en-US" w:eastAsia="zh-CN"/>
              </w:rPr>
              <w:t>本项目周边均为工业企业，距离最近敏感点</w:t>
            </w:r>
            <w:r>
              <w:rPr>
                <w:rFonts w:hint="eastAsia"/>
                <w:color w:val="auto"/>
                <w:sz w:val="21"/>
                <w:szCs w:val="21"/>
                <w:lang w:val="en-US" w:eastAsia="zh-CN"/>
              </w:rPr>
              <w:t>东南侧</w:t>
            </w:r>
            <w:r>
              <w:rPr>
                <w:rFonts w:hint="default"/>
                <w:color w:val="auto"/>
                <w:sz w:val="21"/>
                <w:szCs w:val="21"/>
                <w:lang w:val="en-US" w:eastAsia="zh-CN"/>
              </w:rPr>
              <w:t>的</w:t>
            </w:r>
            <w:r>
              <w:rPr>
                <w:rFonts w:hint="eastAsia"/>
                <w:color w:val="auto"/>
                <w:sz w:val="21"/>
                <w:szCs w:val="21"/>
                <w:lang w:val="en-US" w:eastAsia="zh-CN"/>
              </w:rPr>
              <w:t>前郭村258</w:t>
            </w:r>
            <w:r>
              <w:rPr>
                <w:rFonts w:hint="default"/>
                <w:color w:val="auto"/>
                <w:sz w:val="21"/>
                <w:szCs w:val="21"/>
                <w:lang w:val="en-US" w:eastAsia="zh-CN"/>
              </w:rPr>
              <w:t>m。项目与周边环境基本相符，项目采取严格的污染防治措施后，各项污染物均可达标排放，对周围环境影响不大。项目建设和周围环境是基本相容。</w:t>
            </w:r>
          </w:p>
          <w:p w14:paraId="2E343E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color w:val="auto"/>
                <w:lang w:val="en-US" w:eastAsia="zh-CN"/>
              </w:rPr>
            </w:pPr>
            <w:r>
              <w:rPr>
                <w:rFonts w:hint="eastAsia"/>
                <w:b/>
                <w:bCs/>
                <w:color w:val="auto"/>
                <w:lang w:val="en-US" w:eastAsia="zh-CN"/>
              </w:rPr>
              <w:t>（6）与生态环境分区管控相符性分析</w:t>
            </w:r>
          </w:p>
          <w:p w14:paraId="1A85B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lang w:val="en-US" w:eastAsia="zh-CN"/>
              </w:rPr>
            </w:pPr>
            <w:r>
              <w:rPr>
                <w:rFonts w:hint="eastAsia"/>
                <w:color w:val="auto"/>
                <w:lang w:val="en-US" w:eastAsia="zh-CN"/>
              </w:rPr>
              <w:t>福建省人民政府于2020年12月22日发布了《福建省人民政府关于实施“三线一单”生态环境分区管控的通知》（闽政【2020】12号），实施“三线一单”生态环境分区管控，对全省生态环境总体准入提出要求，详见</w:t>
            </w:r>
            <w:r>
              <w:rPr>
                <w:rFonts w:hint="eastAsia"/>
                <w:b/>
                <w:bCs/>
                <w:color w:val="auto"/>
                <w:lang w:val="en-US" w:eastAsia="zh-CN"/>
              </w:rPr>
              <w:t>表1-2</w:t>
            </w:r>
            <w:r>
              <w:rPr>
                <w:rFonts w:hint="eastAsia"/>
                <w:color w:val="auto"/>
                <w:lang w:val="en-US" w:eastAsia="zh-CN"/>
              </w:rPr>
              <w:t>。</w:t>
            </w:r>
          </w:p>
          <w:p w14:paraId="6B151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w:t>
            </w:r>
            <w:r>
              <w:rPr>
                <w:rFonts w:hint="eastAsia" w:ascii="Times New Roman" w:hAnsi="Times New Roman" w:eastAsia="宋体" w:cs="Times New Roman"/>
                <w:b/>
                <w:bCs/>
                <w:color w:val="auto"/>
                <w:kern w:val="2"/>
                <w:sz w:val="21"/>
                <w:szCs w:val="21"/>
                <w:lang w:val="en-US" w:eastAsia="zh-CN" w:bidi="ar-SA"/>
              </w:rPr>
              <w:t>2</w:t>
            </w:r>
            <w:r>
              <w:rPr>
                <w:rFonts w:hint="default" w:ascii="Times New Roman" w:hAnsi="Times New Roman" w:eastAsia="宋体" w:cs="Times New Roman"/>
                <w:b/>
                <w:bCs/>
                <w:color w:val="auto"/>
                <w:kern w:val="2"/>
                <w:sz w:val="21"/>
                <w:szCs w:val="21"/>
                <w:lang w:val="en-US" w:eastAsia="zh-CN" w:bidi="ar-SA"/>
              </w:rPr>
              <w:t xml:space="preserve"> </w:t>
            </w:r>
            <w:r>
              <w:rPr>
                <w:rFonts w:hint="eastAsia" w:ascii="Times New Roman" w:hAnsi="Times New Roman" w:eastAsia="宋体" w:cs="Times New Roman"/>
                <w:b/>
                <w:bCs/>
                <w:color w:val="auto"/>
                <w:kern w:val="2"/>
                <w:sz w:val="21"/>
                <w:szCs w:val="21"/>
                <w:lang w:val="en-US" w:eastAsia="zh-CN" w:bidi="ar-SA"/>
              </w:rPr>
              <w:t xml:space="preserve"> </w:t>
            </w:r>
            <w:r>
              <w:rPr>
                <w:rFonts w:hint="default" w:ascii="Times New Roman" w:hAnsi="Times New Roman" w:eastAsia="宋体" w:cs="Times New Roman"/>
                <w:b/>
                <w:bCs/>
                <w:color w:val="auto"/>
                <w:kern w:val="2"/>
                <w:sz w:val="21"/>
                <w:szCs w:val="21"/>
                <w:lang w:val="en-US" w:eastAsia="zh-CN" w:bidi="ar-SA"/>
              </w:rPr>
              <w:t>与生态环境分区管控相符性分析一览表</w:t>
            </w:r>
          </w:p>
          <w:tbl>
            <w:tblPr>
              <w:tblStyle w:val="20"/>
              <w:tblW w:w="714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63"/>
              <w:gridCol w:w="5078"/>
              <w:gridCol w:w="939"/>
              <w:gridCol w:w="765"/>
            </w:tblGrid>
            <w:tr w14:paraId="1D99F52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441" w:type="dxa"/>
                  <w:gridSpan w:val="2"/>
                  <w:noWrap w:val="0"/>
                  <w:vAlign w:val="center"/>
                </w:tcPr>
                <w:p w14:paraId="7A1B67CD">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default"/>
                      <w:b/>
                      <w:bCs/>
                      <w:color w:val="auto"/>
                      <w:lang w:val="en-US" w:eastAsia="zh-CN"/>
                    </w:rPr>
                  </w:pPr>
                  <w:r>
                    <w:rPr>
                      <w:rFonts w:hint="eastAsia"/>
                      <w:b/>
                      <w:bCs/>
                      <w:color w:val="auto"/>
                      <w:lang w:val="en-US" w:eastAsia="zh-CN"/>
                    </w:rPr>
                    <w:t>准入要求</w:t>
                  </w:r>
                </w:p>
              </w:tc>
              <w:tc>
                <w:tcPr>
                  <w:tcW w:w="939" w:type="dxa"/>
                  <w:noWrap w:val="0"/>
                  <w:vAlign w:val="center"/>
                </w:tcPr>
                <w:p w14:paraId="67E1745F">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default"/>
                      <w:b/>
                      <w:bCs/>
                      <w:color w:val="auto"/>
                    </w:rPr>
                  </w:pPr>
                  <w:r>
                    <w:rPr>
                      <w:rFonts w:hint="default"/>
                      <w:b/>
                      <w:bCs/>
                      <w:color w:val="auto"/>
                      <w:lang w:val="en-US" w:eastAsia="zh-CN"/>
                    </w:rPr>
                    <w:t>项目情况</w:t>
                  </w:r>
                </w:p>
              </w:tc>
              <w:tc>
                <w:tcPr>
                  <w:tcW w:w="765" w:type="dxa"/>
                  <w:noWrap w:val="0"/>
                  <w:vAlign w:val="center"/>
                </w:tcPr>
                <w:p w14:paraId="32D70783">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default"/>
                      <w:b/>
                      <w:bCs/>
                      <w:color w:val="auto"/>
                    </w:rPr>
                  </w:pPr>
                  <w:r>
                    <w:rPr>
                      <w:rFonts w:hint="default"/>
                      <w:b/>
                      <w:bCs/>
                      <w:color w:val="auto"/>
                      <w:lang w:val="en-US" w:eastAsia="zh-CN"/>
                    </w:rPr>
                    <w:t>相符性</w:t>
                  </w:r>
                </w:p>
              </w:tc>
            </w:tr>
            <w:tr w14:paraId="41F660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32" w:hRule="atLeast"/>
                <w:jc w:val="center"/>
              </w:trPr>
              <w:tc>
                <w:tcPr>
                  <w:tcW w:w="363" w:type="dxa"/>
                  <w:tcBorders>
                    <w:right w:val="single" w:color="auto" w:sz="4" w:space="0"/>
                  </w:tcBorders>
                  <w:noWrap w:val="0"/>
                  <w:vAlign w:val="center"/>
                </w:tcPr>
                <w:p w14:paraId="18835F68">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jc w:val="center"/>
                    <w:textAlignment w:val="baseline"/>
                    <w:rPr>
                      <w:rFonts w:hint="default"/>
                      <w:color w:val="auto"/>
                      <w:lang w:val="en-US" w:eastAsia="zh-CN"/>
                    </w:rPr>
                  </w:pPr>
                  <w:r>
                    <w:rPr>
                      <w:rFonts w:hint="eastAsia"/>
                      <w:color w:val="auto"/>
                      <w:lang w:val="en-US" w:eastAsia="zh-CN"/>
                    </w:rPr>
                    <w:t>空间布局约束</w:t>
                  </w:r>
                </w:p>
              </w:tc>
              <w:tc>
                <w:tcPr>
                  <w:tcW w:w="5078" w:type="dxa"/>
                  <w:tcBorders>
                    <w:left w:val="single" w:color="auto" w:sz="4" w:space="0"/>
                  </w:tcBorders>
                  <w:noWrap w:val="0"/>
                  <w:vAlign w:val="center"/>
                </w:tcPr>
                <w:p w14:paraId="471A11D5">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left"/>
                    <w:textAlignment w:val="baseline"/>
                    <w:rPr>
                      <w:rFonts w:hint="default"/>
                      <w:color w:val="auto"/>
                      <w:lang w:val="en-US" w:eastAsia="zh-CN"/>
                    </w:rPr>
                  </w:pPr>
                  <w:r>
                    <w:rPr>
                      <w:rFonts w:hint="default"/>
                      <w:color w:val="auto"/>
                      <w:lang w:val="en-US" w:eastAsia="zh-CN"/>
                    </w:rPr>
                    <w:t>1.石化、汽车、船舶、冶金、水泥、制浆造纸、印染等重点产业，要符合全省规划布局要求。</w:t>
                  </w:r>
                </w:p>
                <w:p w14:paraId="41346212">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left"/>
                    <w:textAlignment w:val="baseline"/>
                    <w:rPr>
                      <w:rFonts w:hint="default"/>
                      <w:color w:val="auto"/>
                      <w:lang w:val="en-US" w:eastAsia="zh-CN"/>
                    </w:rPr>
                  </w:pPr>
                  <w:r>
                    <w:rPr>
                      <w:rFonts w:hint="default"/>
                      <w:color w:val="auto"/>
                      <w:lang w:val="en-US" w:eastAsia="zh-CN"/>
                    </w:rPr>
                    <w:t>2.严控钢铁、水泥、平板玻璃等产能过剩行业新增产能，新增产能应实施产能等量或减量置换。</w:t>
                  </w:r>
                </w:p>
                <w:p w14:paraId="27E6EB03">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left"/>
                    <w:textAlignment w:val="baseline"/>
                    <w:rPr>
                      <w:rFonts w:hint="default"/>
                      <w:color w:val="auto"/>
                      <w:lang w:val="en-US" w:eastAsia="zh-CN"/>
                    </w:rPr>
                  </w:pPr>
                  <w:r>
                    <w:rPr>
                      <w:rFonts w:hint="default"/>
                      <w:color w:val="auto"/>
                      <w:lang w:val="en-US" w:eastAsia="zh-CN"/>
                    </w:rPr>
                    <w:t>3.除列入国家规划的大型煤电和符合相关要求的等容量替代项目，以及以供热为主的热电联产项目外，原则上不再建设新的煤电项目。</w:t>
                  </w:r>
                </w:p>
                <w:p w14:paraId="3F4F238B">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left"/>
                    <w:textAlignment w:val="baseline"/>
                    <w:rPr>
                      <w:rFonts w:hint="default"/>
                      <w:color w:val="auto"/>
                      <w:lang w:val="en-US" w:eastAsia="zh-CN"/>
                    </w:rPr>
                  </w:pPr>
                  <w:r>
                    <w:rPr>
                      <w:rFonts w:hint="default"/>
                      <w:color w:val="auto"/>
                      <w:lang w:val="en-US" w:eastAsia="zh-CN"/>
                    </w:rPr>
                    <w:t>4.氟化工产业应集中布局在《关于促进我省氟化工产业绿色高效发展的若干意见》中确定的园区，在上述园区之外不再新建氟化工项目，园区之外现有氟化工项目不再扩大规模。</w:t>
                  </w:r>
                </w:p>
                <w:p w14:paraId="2A30A384">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left"/>
                    <w:textAlignment w:val="baseline"/>
                    <w:rPr>
                      <w:rFonts w:hint="default"/>
                      <w:color w:val="auto"/>
                      <w:lang w:val="en-US" w:eastAsia="zh-CN"/>
                    </w:rPr>
                  </w:pPr>
                  <w:r>
                    <w:rPr>
                      <w:rFonts w:hint="default"/>
                      <w:color w:val="auto"/>
                      <w:lang w:val="en-US" w:eastAsia="zh-CN"/>
                    </w:rPr>
                    <w:t>5.禁止在水环境质量不能稳定达标的区域内，建设新增相应不达标污染物指标排放量的工业项目。</w:t>
                  </w:r>
                </w:p>
                <w:p w14:paraId="64602F4A">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left"/>
                    <w:textAlignment w:val="baseline"/>
                    <w:rPr>
                      <w:rFonts w:hint="default"/>
                      <w:color w:val="auto"/>
                      <w:lang w:val="en-US" w:eastAsia="zh-CN"/>
                    </w:rPr>
                  </w:pPr>
                  <w:r>
                    <w:rPr>
                      <w:rFonts w:hint="default"/>
                      <w:color w:val="auto"/>
                      <w:lang w:val="en-US" w:eastAsia="zh-CN"/>
                    </w:rPr>
                    <w:t>6.禁止在通风廊道和主导风向的上风向布局大气重污染企业，推进建成区大气重污染企业搬迁或升级改造、环境风险企业搬迁或关闭退出。</w:t>
                  </w:r>
                </w:p>
                <w:p w14:paraId="429A68E4">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left"/>
                    <w:textAlignment w:val="baseline"/>
                    <w:rPr>
                      <w:rFonts w:hint="default"/>
                      <w:color w:val="auto"/>
                      <w:lang w:val="en-US" w:eastAsia="zh-CN"/>
                    </w:rPr>
                  </w:pPr>
                  <w:r>
                    <w:rPr>
                      <w:rFonts w:hint="default"/>
                      <w:color w:val="auto"/>
                      <w:lang w:val="en-US" w:eastAsia="zh-CN"/>
                    </w:rPr>
                    <w:t>7.新建、扩建的涉及重点重金属污染物</w:t>
                  </w:r>
                  <w:r>
                    <w:rPr>
                      <w:rFonts w:hint="default"/>
                      <w:color w:val="auto"/>
                      <w:vertAlign w:val="superscript"/>
                      <w:lang w:val="en-US" w:eastAsia="zh-CN"/>
                    </w:rPr>
                    <w:t>［1］</w:t>
                  </w:r>
                  <w:r>
                    <w:rPr>
                      <w:rFonts w:hint="default"/>
                      <w:color w:val="auto"/>
                      <w:lang w:val="en-US" w:eastAsia="zh-CN"/>
                    </w:rPr>
                    <w:t>的有色金属冶炼、电镀、制革、铅蓄电池制造企业布局应符合《福建省进一步加强重金属污染防控实施方案》（闽环保固体〔2022〕17号）要求。禁止低端落后产能向闽江中上游地区、九龙江北溪江东北引桥闸以上、西溪桥闸以上流域、晋江流域上游转移。禁止新建用汞的电石法（聚）氯乙烯生产工艺。</w:t>
                  </w:r>
                </w:p>
              </w:tc>
              <w:tc>
                <w:tcPr>
                  <w:tcW w:w="939" w:type="dxa"/>
                  <w:noWrap w:val="0"/>
                  <w:vAlign w:val="center"/>
                </w:tcPr>
                <w:p w14:paraId="7EBF8381">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default"/>
                      <w:b w:val="0"/>
                      <w:bCs w:val="0"/>
                      <w:color w:val="auto"/>
                      <w:szCs w:val="24"/>
                      <w:lang w:val="en-US" w:eastAsia="zh-CN"/>
                    </w:rPr>
                  </w:pPr>
                  <w:r>
                    <w:rPr>
                      <w:rFonts w:hint="default"/>
                      <w:b w:val="0"/>
                      <w:bCs w:val="0"/>
                      <w:color w:val="auto"/>
                      <w:szCs w:val="24"/>
                      <w:lang w:val="en-US" w:eastAsia="zh-CN"/>
                    </w:rPr>
                    <w:t>项目</w:t>
                  </w:r>
                  <w:r>
                    <w:rPr>
                      <w:rFonts w:hint="eastAsia"/>
                      <w:b w:val="0"/>
                      <w:bCs w:val="0"/>
                      <w:color w:val="auto"/>
                      <w:szCs w:val="24"/>
                      <w:lang w:val="en-US" w:eastAsia="zh-CN"/>
                    </w:rPr>
                    <w:t>属于经期裤、护垫、卫生巾生产行业，不属于</w:t>
                  </w:r>
                  <w:r>
                    <w:rPr>
                      <w:rFonts w:hint="default"/>
                      <w:color w:val="auto"/>
                      <w:lang w:val="en-US" w:eastAsia="zh-CN"/>
                    </w:rPr>
                    <w:t>石化、汽车、船舶、冶金、水泥、制浆造纸、印染等重点产业</w:t>
                  </w:r>
                  <w:r>
                    <w:rPr>
                      <w:rFonts w:hint="eastAsia"/>
                      <w:color w:val="auto"/>
                      <w:lang w:val="en-US" w:eastAsia="zh-CN"/>
                    </w:rPr>
                    <w:t>。</w:t>
                  </w:r>
                </w:p>
                <w:p w14:paraId="729CA8A5">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default"/>
                      <w:color w:val="auto"/>
                    </w:rPr>
                  </w:pPr>
                  <w:r>
                    <w:rPr>
                      <w:rFonts w:hint="default"/>
                      <w:b w:val="0"/>
                      <w:bCs w:val="0"/>
                      <w:color w:val="auto"/>
                      <w:szCs w:val="24"/>
                      <w:lang w:val="en-US" w:eastAsia="zh-CN"/>
                    </w:rPr>
                    <w:t>所在区域水环境质量良好，且项目</w:t>
                  </w:r>
                  <w:r>
                    <w:rPr>
                      <w:rFonts w:hint="eastAsia"/>
                      <w:b w:val="0"/>
                      <w:bCs w:val="0"/>
                      <w:color w:val="auto"/>
                      <w:szCs w:val="24"/>
                      <w:lang w:val="en-US" w:eastAsia="zh-CN"/>
                    </w:rPr>
                    <w:t>外排废水</w:t>
                  </w:r>
                  <w:r>
                    <w:rPr>
                      <w:rFonts w:hint="default"/>
                      <w:b w:val="0"/>
                      <w:bCs w:val="0"/>
                      <w:color w:val="auto"/>
                      <w:szCs w:val="24"/>
                      <w:lang w:val="en-US" w:eastAsia="zh-CN"/>
                    </w:rPr>
                    <w:t>经处理</w:t>
                  </w:r>
                  <w:r>
                    <w:rPr>
                      <w:rFonts w:hint="eastAsia"/>
                      <w:b w:val="0"/>
                      <w:bCs w:val="0"/>
                      <w:color w:val="auto"/>
                      <w:szCs w:val="24"/>
                      <w:lang w:val="en-US" w:eastAsia="zh-CN"/>
                    </w:rPr>
                    <w:t>后</w:t>
                  </w:r>
                  <w:r>
                    <w:rPr>
                      <w:rFonts w:hint="default"/>
                      <w:b w:val="0"/>
                      <w:bCs w:val="0"/>
                      <w:color w:val="auto"/>
                      <w:szCs w:val="24"/>
                      <w:lang w:val="en-US" w:eastAsia="zh-CN"/>
                    </w:rPr>
                    <w:t>排入</w:t>
                  </w:r>
                  <w:r>
                    <w:rPr>
                      <w:rFonts w:hint="eastAsia"/>
                      <w:b w:val="0"/>
                      <w:bCs w:val="0"/>
                      <w:color w:val="auto"/>
                      <w:szCs w:val="24"/>
                      <w:lang w:val="en-US" w:eastAsia="zh-CN"/>
                    </w:rPr>
                    <w:t>惠西污水处理厂。</w:t>
                  </w:r>
                </w:p>
              </w:tc>
              <w:tc>
                <w:tcPr>
                  <w:tcW w:w="765" w:type="dxa"/>
                  <w:noWrap w:val="0"/>
                  <w:vAlign w:val="center"/>
                </w:tcPr>
                <w:p w14:paraId="35A4714E">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eastAsia"/>
                      <w:color w:val="auto"/>
                      <w:lang w:eastAsia="zh-CN"/>
                    </w:rPr>
                  </w:pPr>
                  <w:r>
                    <w:rPr>
                      <w:rFonts w:hint="eastAsia"/>
                      <w:color w:val="auto"/>
                      <w:lang w:val="en-US" w:eastAsia="zh-CN"/>
                    </w:rPr>
                    <w:t>符合</w:t>
                  </w:r>
                </w:p>
              </w:tc>
            </w:tr>
            <w:tr w14:paraId="69BBF2F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363" w:type="dxa"/>
                  <w:tcBorders>
                    <w:right w:val="single" w:color="auto" w:sz="4" w:space="0"/>
                  </w:tcBorders>
                  <w:noWrap w:val="0"/>
                  <w:vAlign w:val="center"/>
                </w:tcPr>
                <w:p w14:paraId="414041C7">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default"/>
                      <w:color w:val="auto"/>
                      <w:lang w:val="en-US" w:eastAsia="zh-CN"/>
                    </w:rPr>
                  </w:pPr>
                  <w:r>
                    <w:rPr>
                      <w:rFonts w:hint="eastAsia"/>
                      <w:color w:val="auto"/>
                      <w:lang w:val="en-US" w:eastAsia="zh-CN"/>
                    </w:rPr>
                    <w:t>污染物排放管控</w:t>
                  </w:r>
                </w:p>
              </w:tc>
              <w:tc>
                <w:tcPr>
                  <w:tcW w:w="5078" w:type="dxa"/>
                  <w:tcBorders>
                    <w:left w:val="single" w:color="auto" w:sz="4" w:space="0"/>
                  </w:tcBorders>
                  <w:noWrap w:val="0"/>
                  <w:vAlign w:val="center"/>
                </w:tcPr>
                <w:p w14:paraId="313D70A2">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both"/>
                    <w:textAlignment w:val="baseline"/>
                    <w:rPr>
                      <w:rFonts w:hint="default"/>
                      <w:color w:val="auto"/>
                      <w:lang w:val="en-US" w:eastAsia="zh-CN"/>
                    </w:rPr>
                  </w:pPr>
                  <w:r>
                    <w:rPr>
                      <w:rFonts w:hint="default" w:ascii="Times New Roman" w:hAnsi="Times New Roman" w:eastAsia="宋体" w:cs="Times New Roman"/>
                      <w:color w:val="auto"/>
                      <w:kern w:val="2"/>
                      <w:sz w:val="21"/>
                      <w:szCs w:val="20"/>
                      <w:lang w:val="en-US" w:eastAsia="zh-CN" w:bidi="ar-SA"/>
                    </w:rPr>
                    <w:t>1.</w:t>
                  </w:r>
                  <w:r>
                    <w:rPr>
                      <w:rFonts w:hint="default"/>
                      <w:color w:val="auto"/>
                      <w:lang w:val="en-US" w:eastAsia="zh-CN"/>
                    </w:rPr>
                    <w:t>建设项目新增的主要污染物（含VOCs）排放量应按要求实行等量或倍量替代。重点行业建设项目新增的主要污染物排放量应同时满足《关于加强重点行业建设项目区域削减措施监督管理的通知》（环办环评〔2020〕36号）的要求。涉及新增总磷排放的建设项目应符合相关削减替代要求。新、改、扩建重点行业</w:t>
                  </w:r>
                  <w:r>
                    <w:rPr>
                      <w:rFonts w:hint="default"/>
                      <w:color w:val="auto"/>
                      <w:vertAlign w:val="superscript"/>
                      <w:lang w:val="en-US" w:eastAsia="zh-CN"/>
                    </w:rPr>
                    <w:t>［2］</w:t>
                  </w:r>
                  <w:r>
                    <w:rPr>
                      <w:rFonts w:hint="default"/>
                      <w:color w:val="auto"/>
                      <w:lang w:val="en-US" w:eastAsia="zh-CN"/>
                    </w:rPr>
                    <w:t>建设项目要符合</w:t>
                  </w:r>
                  <w:r>
                    <w:rPr>
                      <w:rFonts w:hint="eastAsia" w:ascii="宋体" w:hAnsi="宋体" w:eastAsia="宋体" w:cs="宋体"/>
                      <w:color w:val="auto"/>
                      <w:lang w:val="en-US" w:eastAsia="zh-CN"/>
                    </w:rPr>
                    <w:t>“</w:t>
                  </w:r>
                  <w:r>
                    <w:rPr>
                      <w:rFonts w:hint="default"/>
                      <w:color w:val="auto"/>
                      <w:lang w:val="en-US" w:eastAsia="zh-CN"/>
                    </w:rPr>
                    <w:t>闽环保固体〔2022〕17号</w:t>
                  </w:r>
                  <w:r>
                    <w:rPr>
                      <w:rFonts w:hint="eastAsia" w:ascii="宋体" w:hAnsi="宋体" w:eastAsia="宋体" w:cs="宋体"/>
                      <w:color w:val="auto"/>
                      <w:lang w:val="en-US" w:eastAsia="zh-CN"/>
                    </w:rPr>
                    <w:t>”</w:t>
                  </w:r>
                  <w:r>
                    <w:rPr>
                      <w:rFonts w:hint="default"/>
                      <w:color w:val="auto"/>
                      <w:lang w:val="en-US" w:eastAsia="zh-CN"/>
                    </w:rPr>
                    <w:t>文件要求</w:t>
                  </w:r>
                  <w:r>
                    <w:rPr>
                      <w:rFonts w:hint="eastAsia"/>
                      <w:color w:val="auto"/>
                      <w:lang w:val="en-US" w:eastAsia="zh-CN"/>
                    </w:rPr>
                    <w:t>。</w:t>
                  </w:r>
                </w:p>
                <w:p w14:paraId="25CB1C22">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both"/>
                    <w:textAlignment w:val="baseline"/>
                    <w:rPr>
                      <w:rFonts w:hint="default"/>
                      <w:color w:val="auto"/>
                      <w:vertAlign w:val="baseline"/>
                      <w:lang w:val="en-US" w:eastAsia="zh-CN"/>
                    </w:rPr>
                  </w:pPr>
                  <w:r>
                    <w:rPr>
                      <w:rFonts w:hint="default"/>
                      <w:color w:val="auto"/>
                      <w:lang w:val="en-US" w:eastAsia="zh-CN"/>
                    </w:rPr>
                    <w:t>2.新改扩建钢铁、火电项目应执行超低排放限值，有色项目应当执行大气污染物特别排放限值。水泥行业新改扩建项目严格对照超低排放、能效标杆水平建设实施，现有项目超低排放改造应按</w:t>
                  </w:r>
                  <w:r>
                    <w:rPr>
                      <w:rFonts w:hint="eastAsia" w:ascii="宋体" w:hAnsi="宋体" w:eastAsia="宋体" w:cs="宋体"/>
                      <w:color w:val="auto"/>
                      <w:lang w:val="en-US" w:eastAsia="zh-CN"/>
                    </w:rPr>
                    <w:t>“</w:t>
                  </w:r>
                  <w:r>
                    <w:rPr>
                      <w:rFonts w:hint="default"/>
                      <w:color w:val="auto"/>
                      <w:lang w:val="en-US" w:eastAsia="zh-CN"/>
                    </w:rPr>
                    <w:t>闽环规〔2023〕2号</w:t>
                  </w:r>
                  <w:r>
                    <w:rPr>
                      <w:rFonts w:hint="eastAsia" w:ascii="宋体" w:hAnsi="宋体" w:eastAsia="宋体" w:cs="宋体"/>
                      <w:color w:val="auto"/>
                      <w:lang w:val="en-US" w:eastAsia="zh-CN"/>
                    </w:rPr>
                    <w:t>”</w:t>
                  </w:r>
                  <w:r>
                    <w:rPr>
                      <w:rFonts w:hint="default"/>
                      <w:color w:val="auto"/>
                      <w:lang w:val="en-US" w:eastAsia="zh-CN"/>
                    </w:rPr>
                    <w:t>文件的时限要求分步推进，2025年底前全面完成</w:t>
                  </w:r>
                  <w:r>
                    <w:rPr>
                      <w:rFonts w:hint="default"/>
                      <w:color w:val="auto"/>
                      <w:vertAlign w:val="superscript"/>
                      <w:lang w:val="en-US" w:eastAsia="zh-CN"/>
                    </w:rPr>
                    <w:t>［2］［4］</w:t>
                  </w:r>
                  <w:r>
                    <w:rPr>
                      <w:rFonts w:hint="eastAsia"/>
                      <w:color w:val="auto"/>
                      <w:vertAlign w:val="baseline"/>
                      <w:lang w:val="en-US" w:eastAsia="zh-CN"/>
                    </w:rPr>
                    <w:t>。</w:t>
                  </w:r>
                </w:p>
                <w:p w14:paraId="008F86FA">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both"/>
                    <w:textAlignment w:val="baseline"/>
                    <w:rPr>
                      <w:rFonts w:hint="default"/>
                      <w:color w:val="auto"/>
                      <w:lang w:val="en-US" w:eastAsia="zh-CN"/>
                    </w:rPr>
                  </w:pPr>
                  <w:r>
                    <w:rPr>
                      <w:rFonts w:hint="default"/>
                      <w:color w:val="auto"/>
                      <w:lang w:val="en-US" w:eastAsia="zh-CN"/>
                    </w:rPr>
                    <w:t>3.近岸海域汇水区域、</w:t>
                  </w:r>
                  <w:r>
                    <w:rPr>
                      <w:rFonts w:hint="eastAsia" w:ascii="宋体" w:hAnsi="宋体" w:eastAsia="宋体" w:cs="宋体"/>
                      <w:color w:val="auto"/>
                      <w:lang w:val="en-US" w:eastAsia="zh-CN"/>
                    </w:rPr>
                    <w:t>“六江两溪”</w:t>
                  </w:r>
                  <w:r>
                    <w:rPr>
                      <w:rFonts w:hint="default"/>
                      <w:color w:val="auto"/>
                      <w:lang w:val="en-US" w:eastAsia="zh-CN"/>
                    </w:rPr>
                    <w:t>流域以及排入湖泊、水库等封闭、半封闭水域的城镇污水处理设施执行不低于一级A排放标准。到2025年，省级及以上各类开发区、工业园区完成</w:t>
                  </w:r>
                  <w:r>
                    <w:rPr>
                      <w:rFonts w:hint="eastAsia" w:ascii="宋体" w:hAnsi="宋体" w:eastAsia="宋体" w:cs="宋体"/>
                      <w:color w:val="auto"/>
                      <w:lang w:val="en-US" w:eastAsia="zh-CN"/>
                    </w:rPr>
                    <w:t>“污水零直排区”</w:t>
                  </w:r>
                  <w:r>
                    <w:rPr>
                      <w:rFonts w:hint="default"/>
                      <w:color w:val="auto"/>
                      <w:lang w:val="en-US" w:eastAsia="zh-CN"/>
                    </w:rPr>
                    <w:t>建设，混合处理工业污水和生活污水的污水处理厂达到一级A排放标准。</w:t>
                  </w:r>
                </w:p>
                <w:p w14:paraId="67D327F3">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both"/>
                    <w:textAlignment w:val="baseline"/>
                    <w:rPr>
                      <w:rFonts w:hint="default"/>
                      <w:color w:val="auto"/>
                      <w:lang w:val="en-US" w:eastAsia="zh-CN"/>
                    </w:rPr>
                  </w:pPr>
                  <w:r>
                    <w:rPr>
                      <w:rFonts w:hint="default"/>
                      <w:color w:val="auto"/>
                      <w:lang w:val="en-US" w:eastAsia="zh-CN"/>
                    </w:rPr>
                    <w:t>4.优化调整货物运输方式，提升铁路货运比例，推进钢铁、电力、电解铝、焦化等重点工业企业和工业园区货物由公路运输转向铁路运输。</w:t>
                  </w:r>
                </w:p>
                <w:p w14:paraId="7481806E">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both"/>
                    <w:textAlignment w:val="baseline"/>
                    <w:rPr>
                      <w:rFonts w:hint="default"/>
                      <w:color w:val="auto"/>
                      <w:lang w:val="en-US" w:eastAsia="zh-CN"/>
                    </w:rPr>
                  </w:pPr>
                  <w:r>
                    <w:rPr>
                      <w:rFonts w:hint="default"/>
                      <w:color w:val="auto"/>
                      <w:lang w:val="en-US" w:eastAsia="zh-CN"/>
                    </w:rPr>
                    <w:t>5.加强石化、涂料、纺织印染、橡胶、医药等行业新污染物环境风险管控。</w:t>
                  </w:r>
                </w:p>
              </w:tc>
              <w:tc>
                <w:tcPr>
                  <w:tcW w:w="939" w:type="dxa"/>
                  <w:noWrap w:val="0"/>
                  <w:vAlign w:val="center"/>
                </w:tcPr>
                <w:p w14:paraId="61E09AD4">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eastAsia"/>
                      <w:color w:val="auto"/>
                      <w:lang w:val="en-US" w:eastAsia="zh-CN"/>
                    </w:rPr>
                  </w:pPr>
                  <w:r>
                    <w:rPr>
                      <w:rFonts w:hint="eastAsia"/>
                      <w:color w:val="auto"/>
                      <w:lang w:val="en-US" w:eastAsia="zh-CN"/>
                    </w:rPr>
                    <w:t>项目不涉及VOCs排放</w:t>
                  </w:r>
                  <w:r>
                    <w:rPr>
                      <w:rFonts w:hint="eastAsia"/>
                      <w:color w:val="auto"/>
                      <w:lang w:eastAsia="zh-CN"/>
                    </w:rPr>
                    <w:t>；</w:t>
                  </w:r>
                  <w:r>
                    <w:rPr>
                      <w:rFonts w:hint="default"/>
                      <w:color w:val="auto"/>
                      <w:lang w:val="en-US" w:eastAsia="zh-CN"/>
                    </w:rPr>
                    <w:t>项目</w:t>
                  </w:r>
                  <w:r>
                    <w:rPr>
                      <w:rFonts w:hint="eastAsia"/>
                      <w:color w:val="auto"/>
                      <w:lang w:val="en-US" w:eastAsia="zh-CN"/>
                    </w:rPr>
                    <w:t>属于</w:t>
                  </w:r>
                  <w:r>
                    <w:rPr>
                      <w:rFonts w:hint="eastAsia"/>
                      <w:b w:val="0"/>
                      <w:bCs w:val="0"/>
                      <w:color w:val="auto"/>
                      <w:szCs w:val="24"/>
                      <w:lang w:val="en-US" w:eastAsia="zh-CN"/>
                    </w:rPr>
                    <w:t>经期裤、护垫、卫生巾生产行业</w:t>
                  </w:r>
                  <w:r>
                    <w:rPr>
                      <w:rFonts w:hint="eastAsia"/>
                      <w:color w:val="auto"/>
                      <w:lang w:val="en-US" w:eastAsia="zh-CN"/>
                    </w:rPr>
                    <w:t>，</w:t>
                  </w:r>
                  <w:r>
                    <w:rPr>
                      <w:rFonts w:hint="default"/>
                      <w:color w:val="auto"/>
                      <w:lang w:val="en-US" w:eastAsia="zh-CN"/>
                    </w:rPr>
                    <w:t>且项目</w:t>
                  </w:r>
                  <w:r>
                    <w:rPr>
                      <w:rFonts w:hint="eastAsia"/>
                      <w:color w:val="auto"/>
                      <w:lang w:val="en-US" w:eastAsia="zh-CN"/>
                    </w:rPr>
                    <w:t>外排废水</w:t>
                  </w:r>
                  <w:r>
                    <w:rPr>
                      <w:rFonts w:hint="default"/>
                      <w:color w:val="auto"/>
                      <w:lang w:val="en-US" w:eastAsia="zh-CN"/>
                    </w:rPr>
                    <w:t>经处理</w:t>
                  </w:r>
                  <w:r>
                    <w:rPr>
                      <w:rFonts w:hint="eastAsia"/>
                      <w:color w:val="auto"/>
                      <w:lang w:val="en-US" w:eastAsia="zh-CN"/>
                    </w:rPr>
                    <w:t>后</w:t>
                  </w:r>
                  <w:r>
                    <w:rPr>
                      <w:rFonts w:hint="default"/>
                      <w:color w:val="auto"/>
                      <w:lang w:val="en-US" w:eastAsia="zh-CN"/>
                    </w:rPr>
                    <w:t>排入</w:t>
                  </w:r>
                  <w:r>
                    <w:rPr>
                      <w:rFonts w:hint="eastAsia"/>
                      <w:color w:val="auto"/>
                      <w:lang w:val="en-US" w:eastAsia="zh-CN"/>
                    </w:rPr>
                    <w:t>惠西污水处理厂。</w:t>
                  </w:r>
                </w:p>
              </w:tc>
              <w:tc>
                <w:tcPr>
                  <w:tcW w:w="765" w:type="dxa"/>
                  <w:noWrap w:val="0"/>
                  <w:vAlign w:val="center"/>
                </w:tcPr>
                <w:p w14:paraId="1CC6244B">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eastAsia"/>
                      <w:color w:val="auto"/>
                      <w:lang w:val="en-US" w:eastAsia="zh-CN"/>
                    </w:rPr>
                  </w:pPr>
                  <w:r>
                    <w:rPr>
                      <w:rFonts w:hint="eastAsia"/>
                      <w:color w:val="auto"/>
                      <w:lang w:val="en-US" w:eastAsia="zh-CN"/>
                    </w:rPr>
                    <w:t>符合</w:t>
                  </w:r>
                </w:p>
              </w:tc>
            </w:tr>
            <w:tr w14:paraId="290F6E0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363" w:type="dxa"/>
                  <w:tcBorders>
                    <w:right w:val="single" w:color="auto" w:sz="4" w:space="0"/>
                  </w:tcBorders>
                  <w:noWrap w:val="0"/>
                  <w:vAlign w:val="center"/>
                </w:tcPr>
                <w:p w14:paraId="34BF563D">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eastAsia"/>
                      <w:color w:val="auto"/>
                      <w:lang w:val="en-US" w:eastAsia="zh-CN"/>
                    </w:rPr>
                  </w:pPr>
                  <w:r>
                    <w:rPr>
                      <w:rFonts w:hint="eastAsia"/>
                      <w:color w:val="auto"/>
                    </w:rPr>
                    <w:t>资源开发效率要求</w:t>
                  </w:r>
                </w:p>
              </w:tc>
              <w:tc>
                <w:tcPr>
                  <w:tcW w:w="5078" w:type="dxa"/>
                  <w:tcBorders>
                    <w:left w:val="single" w:color="auto" w:sz="4" w:space="0"/>
                  </w:tcBorders>
                  <w:noWrap w:val="0"/>
                  <w:vAlign w:val="center"/>
                </w:tcPr>
                <w:p w14:paraId="72D7ABD8">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both"/>
                    <w:textAlignment w:val="baseline"/>
                    <w:rPr>
                      <w:rFonts w:hint="default"/>
                      <w:color w:val="auto"/>
                      <w:lang w:val="en-US" w:eastAsia="zh-CN"/>
                    </w:rPr>
                  </w:pPr>
                  <w:r>
                    <w:rPr>
                      <w:rFonts w:hint="eastAsia"/>
                      <w:color w:val="auto"/>
                      <w:lang w:val="en-US" w:eastAsia="zh-CN"/>
                    </w:rPr>
                    <w:t>1.</w:t>
                  </w:r>
                  <w:r>
                    <w:rPr>
                      <w:rFonts w:hint="default"/>
                      <w:color w:val="auto"/>
                      <w:lang w:val="en-US" w:eastAsia="zh-CN"/>
                    </w:rPr>
                    <w:t>实施能源消耗总量和强度双控。</w:t>
                  </w:r>
                </w:p>
                <w:p w14:paraId="75B7A668">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both"/>
                    <w:textAlignment w:val="baseline"/>
                    <w:rPr>
                      <w:rFonts w:hint="default"/>
                      <w:color w:val="auto"/>
                      <w:lang w:val="en-US" w:eastAsia="zh-CN"/>
                    </w:rPr>
                  </w:pPr>
                  <w:r>
                    <w:rPr>
                      <w:rFonts w:hint="default"/>
                      <w:color w:val="auto"/>
                      <w:lang w:val="en-US" w:eastAsia="zh-CN"/>
                    </w:rPr>
                    <w:t>2.强化产业园区单位土地面积投资强度和效用指标的刚性约束，提高土地利用效率。</w:t>
                  </w:r>
                </w:p>
                <w:p w14:paraId="0CBCFB57">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both"/>
                    <w:textAlignment w:val="baseline"/>
                    <w:rPr>
                      <w:rFonts w:hint="default"/>
                      <w:color w:val="auto"/>
                      <w:lang w:val="en-US" w:eastAsia="zh-CN"/>
                    </w:rPr>
                  </w:pPr>
                  <w:r>
                    <w:rPr>
                      <w:rFonts w:hint="default"/>
                      <w:color w:val="auto"/>
                      <w:lang w:val="en-US" w:eastAsia="zh-CN"/>
                    </w:rPr>
                    <w:t>3.具备使用再生水条件但未充分利用的钢铁、火电、化工、制浆造纸、印染等项目，不得批准其新增取水许可。在沿海地区电力、化工、石化等行业，推行直接利用海水作为循环冷却等工业用水。</w:t>
                  </w:r>
                </w:p>
                <w:p w14:paraId="7CBCE049">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both"/>
                    <w:textAlignment w:val="baseline"/>
                    <w:rPr>
                      <w:rFonts w:hint="default"/>
                      <w:color w:val="auto"/>
                      <w:lang w:val="en-US" w:eastAsia="zh-CN"/>
                    </w:rPr>
                  </w:pPr>
                  <w:r>
                    <w:rPr>
                      <w:rFonts w:hint="default"/>
                      <w:color w:val="auto"/>
                      <w:lang w:val="en-US" w:eastAsia="zh-CN"/>
                    </w:rPr>
                    <w:t>4.落实</w:t>
                  </w:r>
                  <w:r>
                    <w:rPr>
                      <w:rFonts w:hint="eastAsia" w:ascii="宋体" w:hAnsi="宋体" w:eastAsia="宋体" w:cs="宋体"/>
                      <w:color w:val="auto"/>
                      <w:lang w:val="en-US" w:eastAsia="zh-CN"/>
                    </w:rPr>
                    <w:t>“</w:t>
                  </w:r>
                  <w:r>
                    <w:rPr>
                      <w:rFonts w:hint="default"/>
                      <w:color w:val="auto"/>
                      <w:lang w:val="en-US" w:eastAsia="zh-CN"/>
                    </w:rPr>
                    <w:t>闽环规〔2023〕1号</w:t>
                  </w:r>
                  <w:r>
                    <w:rPr>
                      <w:rFonts w:hint="eastAsia" w:ascii="宋体" w:hAnsi="宋体" w:eastAsia="宋体" w:cs="宋体"/>
                      <w:color w:val="auto"/>
                      <w:lang w:val="en-US" w:eastAsia="zh-CN"/>
                    </w:rPr>
                    <w:t>”</w:t>
                  </w:r>
                  <w:r>
                    <w:rPr>
                      <w:rFonts w:hint="default"/>
                      <w:color w:val="auto"/>
                      <w:lang w:val="en-US" w:eastAsia="zh-CN"/>
                    </w:rPr>
                    <w:t>文件要求，不再新建每小时35蒸吨以下燃煤锅炉，以及每小时10蒸吨及以下燃生物质和其他使用高污染燃料的锅炉。集中供热管网覆盖范围内禁止新建、扩建分散燃煤、燃油等供热锅炉。</w:t>
                  </w:r>
                </w:p>
                <w:p w14:paraId="162D7C49">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firstLine="420" w:firstLineChars="200"/>
                    <w:jc w:val="both"/>
                    <w:textAlignment w:val="baseline"/>
                    <w:rPr>
                      <w:rFonts w:hint="default"/>
                      <w:color w:val="auto"/>
                      <w:lang w:val="en-US" w:eastAsia="zh-CN"/>
                    </w:rPr>
                  </w:pPr>
                  <w:r>
                    <w:rPr>
                      <w:rFonts w:hint="default"/>
                      <w:color w:val="auto"/>
                      <w:lang w:val="en-US" w:eastAsia="zh-CN"/>
                    </w:rPr>
                    <w:t>5.落实</w:t>
                  </w:r>
                  <w:r>
                    <w:rPr>
                      <w:rFonts w:hint="eastAsia" w:ascii="宋体" w:hAnsi="宋体" w:eastAsia="宋体" w:cs="宋体"/>
                      <w:color w:val="auto"/>
                      <w:lang w:val="en-US" w:eastAsia="zh-CN"/>
                    </w:rPr>
                    <w:t>“</w:t>
                  </w:r>
                  <w:r>
                    <w:rPr>
                      <w:rFonts w:hint="default"/>
                      <w:color w:val="auto"/>
                      <w:lang w:val="en-US" w:eastAsia="zh-CN"/>
                    </w:rPr>
                    <w:t>闽环保大气〔2023〕5号</w:t>
                  </w:r>
                  <w:r>
                    <w:rPr>
                      <w:rFonts w:hint="eastAsia" w:ascii="宋体" w:hAnsi="宋体" w:eastAsia="宋体" w:cs="宋体"/>
                      <w:color w:val="auto"/>
                      <w:lang w:val="en-US" w:eastAsia="zh-CN"/>
                    </w:rPr>
                    <w:t>”</w:t>
                  </w:r>
                  <w:r>
                    <w:rPr>
                      <w:rFonts w:hint="default"/>
                      <w:color w:val="auto"/>
                      <w:lang w:val="en-US" w:eastAsia="zh-CN"/>
                    </w:rPr>
                    <w:t>文件要求，按照</w:t>
                  </w:r>
                  <w:r>
                    <w:rPr>
                      <w:rFonts w:hint="eastAsia" w:ascii="宋体" w:hAnsi="宋体" w:eastAsia="宋体" w:cs="宋体"/>
                      <w:color w:val="auto"/>
                      <w:lang w:val="en-US" w:eastAsia="zh-CN"/>
                    </w:rPr>
                    <w:t>“提气、转电、控煤”的</w:t>
                  </w:r>
                  <w:r>
                    <w:rPr>
                      <w:rFonts w:hint="default"/>
                      <w:color w:val="auto"/>
                      <w:lang w:val="en-US" w:eastAsia="zh-CN"/>
                    </w:rPr>
                    <w:t>发展思路，推动陶瓷行业进一步优化用能结构，实现能源消费清洁低碳化。</w:t>
                  </w:r>
                </w:p>
              </w:tc>
              <w:tc>
                <w:tcPr>
                  <w:tcW w:w="939" w:type="dxa"/>
                  <w:noWrap w:val="0"/>
                  <w:vAlign w:val="center"/>
                </w:tcPr>
                <w:p w14:paraId="7FD721A5">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default"/>
                      <w:color w:val="auto"/>
                      <w:lang w:val="en-US" w:eastAsia="zh-CN"/>
                    </w:rPr>
                  </w:pPr>
                  <w:r>
                    <w:rPr>
                      <w:rFonts w:hint="eastAsia"/>
                      <w:color w:val="auto"/>
                      <w:lang w:val="en-US" w:eastAsia="zh-CN"/>
                    </w:rPr>
                    <w:t>项目不属于钢铁、火电、化工、制浆造纸、印染等行业，且不使用锅炉。</w:t>
                  </w:r>
                </w:p>
              </w:tc>
              <w:tc>
                <w:tcPr>
                  <w:tcW w:w="765" w:type="dxa"/>
                  <w:noWrap w:val="0"/>
                  <w:vAlign w:val="center"/>
                </w:tcPr>
                <w:p w14:paraId="1F82F1B5">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default"/>
                      <w:color w:val="auto"/>
                      <w:lang w:val="en-US" w:eastAsia="zh-CN"/>
                    </w:rPr>
                  </w:pPr>
                  <w:r>
                    <w:rPr>
                      <w:rFonts w:hint="eastAsia"/>
                      <w:color w:val="auto"/>
                      <w:lang w:val="en-US" w:eastAsia="zh-CN"/>
                    </w:rPr>
                    <w:t>符合</w:t>
                  </w:r>
                </w:p>
              </w:tc>
            </w:tr>
          </w:tbl>
          <w:p w14:paraId="6510060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2" w:firstLineChars="200"/>
              <w:textAlignment w:val="auto"/>
              <w:rPr>
                <w:rFonts w:hint="default"/>
                <w:color w:val="auto"/>
                <w:sz w:val="21"/>
                <w:szCs w:val="21"/>
                <w:lang w:val="en-US" w:eastAsia="zh-CN"/>
              </w:rPr>
            </w:pPr>
            <w:r>
              <w:rPr>
                <w:rFonts w:hint="default"/>
                <w:b/>
                <w:bCs/>
                <w:color w:val="auto"/>
                <w:sz w:val="21"/>
                <w:szCs w:val="21"/>
                <w:lang w:val="en-US" w:eastAsia="zh-CN"/>
              </w:rPr>
              <w:t>（</w:t>
            </w:r>
            <w:r>
              <w:rPr>
                <w:rFonts w:hint="eastAsia"/>
                <w:b/>
                <w:bCs/>
                <w:color w:val="auto"/>
                <w:sz w:val="21"/>
                <w:szCs w:val="21"/>
                <w:lang w:val="en-US" w:eastAsia="zh-CN"/>
              </w:rPr>
              <w:t>7</w:t>
            </w:r>
            <w:r>
              <w:rPr>
                <w:rFonts w:hint="default"/>
                <w:b/>
                <w:bCs/>
                <w:color w:val="auto"/>
                <w:sz w:val="21"/>
                <w:szCs w:val="21"/>
                <w:lang w:val="en-US" w:eastAsia="zh-CN"/>
              </w:rPr>
              <w:t>）与城镇生活类重点管控单元相符性分析</w:t>
            </w:r>
          </w:p>
          <w:p w14:paraId="42D646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b/>
                <w:bCs/>
                <w:color w:val="auto"/>
                <w:sz w:val="21"/>
                <w:szCs w:val="21"/>
                <w:lang w:val="en-US" w:eastAsia="zh-CN"/>
              </w:rPr>
            </w:pPr>
            <w:r>
              <w:rPr>
                <w:rFonts w:hint="default"/>
                <w:b/>
                <w:bCs/>
                <w:color w:val="auto"/>
                <w:sz w:val="21"/>
                <w:szCs w:val="21"/>
                <w:lang w:val="en-US" w:eastAsia="zh-CN"/>
              </w:rPr>
              <w:t>表1-</w:t>
            </w:r>
            <w:r>
              <w:rPr>
                <w:rFonts w:hint="eastAsia"/>
                <w:b/>
                <w:bCs/>
                <w:color w:val="auto"/>
                <w:sz w:val="21"/>
                <w:szCs w:val="21"/>
                <w:lang w:val="en-US" w:eastAsia="zh-CN"/>
              </w:rPr>
              <w:t>3</w:t>
            </w:r>
            <w:r>
              <w:rPr>
                <w:rFonts w:hint="default"/>
                <w:b/>
                <w:bCs/>
                <w:color w:val="auto"/>
                <w:sz w:val="21"/>
                <w:szCs w:val="21"/>
                <w:lang w:val="en-US" w:eastAsia="zh-CN"/>
              </w:rPr>
              <w:t xml:space="preserve"> </w:t>
            </w:r>
            <w:r>
              <w:rPr>
                <w:rFonts w:hint="eastAsia"/>
                <w:b/>
                <w:bCs/>
                <w:color w:val="auto"/>
                <w:sz w:val="21"/>
                <w:szCs w:val="21"/>
                <w:lang w:val="en-US" w:eastAsia="zh-CN"/>
              </w:rPr>
              <w:t xml:space="preserve"> </w:t>
            </w:r>
            <w:r>
              <w:rPr>
                <w:rFonts w:hint="default"/>
                <w:b/>
                <w:bCs/>
                <w:color w:val="auto"/>
                <w:sz w:val="21"/>
                <w:szCs w:val="21"/>
                <w:lang w:val="en-US" w:eastAsia="zh-CN"/>
              </w:rPr>
              <w:t>与城镇生活类重点管控单元相符性分析一览表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3610"/>
              <w:gridCol w:w="1873"/>
              <w:gridCol w:w="801"/>
            </w:tblGrid>
            <w:tr w14:paraId="277E2F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383" w:type="dxa"/>
                  <w:gridSpan w:val="2"/>
                  <w:noWrap w:val="0"/>
                  <w:vAlign w:val="center"/>
                </w:tcPr>
                <w:p w14:paraId="660327B6">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default"/>
                      <w:b/>
                      <w:bCs/>
                      <w:color w:val="auto"/>
                      <w:lang w:val="en-US" w:eastAsia="zh-CN"/>
                    </w:rPr>
                  </w:pPr>
                  <w:r>
                    <w:rPr>
                      <w:rFonts w:hint="eastAsia"/>
                      <w:b/>
                      <w:bCs/>
                      <w:color w:val="auto"/>
                      <w:lang w:val="en-US" w:eastAsia="zh-CN"/>
                    </w:rPr>
                    <w:t>准入要求</w:t>
                  </w:r>
                </w:p>
              </w:tc>
              <w:tc>
                <w:tcPr>
                  <w:tcW w:w="1873" w:type="dxa"/>
                  <w:noWrap w:val="0"/>
                  <w:vAlign w:val="center"/>
                </w:tcPr>
                <w:p w14:paraId="65DE6189">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default"/>
                      <w:b/>
                      <w:bCs/>
                      <w:color w:val="auto"/>
                    </w:rPr>
                  </w:pPr>
                  <w:r>
                    <w:rPr>
                      <w:rFonts w:hint="default"/>
                      <w:b/>
                      <w:bCs/>
                      <w:color w:val="auto"/>
                      <w:lang w:val="en-US" w:eastAsia="zh-CN"/>
                    </w:rPr>
                    <w:t>项目情况</w:t>
                  </w:r>
                </w:p>
              </w:tc>
              <w:tc>
                <w:tcPr>
                  <w:tcW w:w="801" w:type="dxa"/>
                  <w:noWrap w:val="0"/>
                  <w:vAlign w:val="center"/>
                </w:tcPr>
                <w:p w14:paraId="15D9DA31">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default"/>
                      <w:b/>
                      <w:bCs/>
                      <w:color w:val="auto"/>
                    </w:rPr>
                  </w:pPr>
                  <w:r>
                    <w:rPr>
                      <w:rFonts w:hint="default"/>
                      <w:b/>
                      <w:bCs/>
                      <w:color w:val="auto"/>
                      <w:lang w:val="en-US" w:eastAsia="zh-CN"/>
                    </w:rPr>
                    <w:t>相符性</w:t>
                  </w:r>
                </w:p>
              </w:tc>
            </w:tr>
            <w:tr w14:paraId="6E5C73E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773" w:type="dxa"/>
                  <w:tcBorders>
                    <w:right w:val="single" w:color="auto" w:sz="4" w:space="0"/>
                  </w:tcBorders>
                  <w:noWrap w:val="0"/>
                  <w:vAlign w:val="center"/>
                </w:tcPr>
                <w:p w14:paraId="56FDA50E">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jc w:val="center"/>
                    <w:textAlignment w:val="baseline"/>
                    <w:rPr>
                      <w:rFonts w:hint="default"/>
                      <w:color w:val="auto"/>
                      <w:lang w:val="en-US" w:eastAsia="zh-CN"/>
                    </w:rPr>
                  </w:pPr>
                  <w:r>
                    <w:rPr>
                      <w:rFonts w:hint="eastAsia"/>
                      <w:color w:val="auto"/>
                      <w:lang w:val="en-US" w:eastAsia="zh-CN"/>
                    </w:rPr>
                    <w:t>空间布局约束</w:t>
                  </w:r>
                </w:p>
              </w:tc>
              <w:tc>
                <w:tcPr>
                  <w:tcW w:w="3610" w:type="dxa"/>
                  <w:tcBorders>
                    <w:left w:val="single" w:color="auto" w:sz="4" w:space="0"/>
                  </w:tcBorders>
                  <w:noWrap w:val="0"/>
                  <w:vAlign w:val="center"/>
                </w:tcPr>
                <w:p w14:paraId="5A41E035">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left"/>
                    <w:textAlignment w:val="baseline"/>
                    <w:rPr>
                      <w:rFonts w:hint="default"/>
                      <w:color w:val="auto"/>
                      <w:lang w:val="en-US" w:eastAsia="zh-CN"/>
                    </w:rPr>
                  </w:pPr>
                  <w:r>
                    <w:rPr>
                      <w:rFonts w:hint="default"/>
                      <w:color w:val="auto"/>
                      <w:lang w:val="en-US" w:eastAsia="zh-CN"/>
                    </w:rPr>
                    <w:t>严禁在城镇人口密集区新建危险化学品生产企业；现有不符合安全和卫生防护距离要求的危险化学品生产企业2025年底前完成就地改造达标、搬迁进入规范化工园区或关闭退出。</w:t>
                  </w:r>
                </w:p>
              </w:tc>
              <w:tc>
                <w:tcPr>
                  <w:tcW w:w="1873" w:type="dxa"/>
                  <w:noWrap w:val="0"/>
                  <w:vAlign w:val="center"/>
                </w:tcPr>
                <w:p w14:paraId="690AE444">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default"/>
                      <w:color w:val="auto"/>
                    </w:rPr>
                  </w:pPr>
                  <w:r>
                    <w:rPr>
                      <w:rFonts w:hint="eastAsia" w:ascii="宋体" w:hAnsi="宋体" w:eastAsia="宋体" w:cs="宋体"/>
                      <w:color w:val="auto"/>
                    </w:rPr>
                    <w:t>项目为卫生巾、护垫、</w:t>
                  </w:r>
                  <w:r>
                    <w:rPr>
                      <w:rFonts w:hint="eastAsia" w:ascii="宋体" w:hAnsi="宋体" w:eastAsia="宋体" w:cs="宋体"/>
                      <w:color w:val="auto"/>
                      <w:lang w:val="en-US" w:eastAsia="zh-CN"/>
                    </w:rPr>
                    <w:t>经期裤</w:t>
                  </w:r>
                  <w:r>
                    <w:rPr>
                      <w:rFonts w:hint="eastAsia" w:ascii="宋体" w:hAnsi="宋体" w:eastAsia="宋体" w:cs="宋体"/>
                      <w:color w:val="auto"/>
                    </w:rPr>
                    <w:t>生产，不属于危险化学品生产。</w:t>
                  </w:r>
                </w:p>
              </w:tc>
              <w:tc>
                <w:tcPr>
                  <w:tcW w:w="801" w:type="dxa"/>
                  <w:noWrap w:val="0"/>
                  <w:vAlign w:val="center"/>
                </w:tcPr>
                <w:p w14:paraId="3722F061">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eastAsia"/>
                      <w:color w:val="auto"/>
                      <w:lang w:eastAsia="zh-CN"/>
                    </w:rPr>
                  </w:pPr>
                  <w:r>
                    <w:rPr>
                      <w:rFonts w:hint="eastAsia"/>
                      <w:color w:val="auto"/>
                      <w:lang w:val="en-US" w:eastAsia="zh-CN"/>
                    </w:rPr>
                    <w:t>符合</w:t>
                  </w:r>
                </w:p>
              </w:tc>
            </w:tr>
            <w:tr w14:paraId="441AA2E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3" w:type="dxa"/>
                  <w:tcBorders>
                    <w:right w:val="single" w:color="auto" w:sz="4" w:space="0"/>
                  </w:tcBorders>
                  <w:noWrap w:val="0"/>
                  <w:vAlign w:val="center"/>
                </w:tcPr>
                <w:p w14:paraId="3616D3CF">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jc w:val="center"/>
                    <w:textAlignment w:val="baseline"/>
                    <w:rPr>
                      <w:rFonts w:hint="default"/>
                      <w:color w:val="auto"/>
                      <w:lang w:val="en-US" w:eastAsia="zh-CN"/>
                    </w:rPr>
                  </w:pPr>
                  <w:r>
                    <w:rPr>
                      <w:rFonts w:hint="eastAsia"/>
                      <w:color w:val="auto"/>
                      <w:lang w:val="en-US" w:eastAsia="zh-CN"/>
                    </w:rPr>
                    <w:t>污染物排放管控</w:t>
                  </w:r>
                </w:p>
              </w:tc>
              <w:tc>
                <w:tcPr>
                  <w:tcW w:w="3610" w:type="dxa"/>
                  <w:tcBorders>
                    <w:left w:val="single" w:color="auto" w:sz="4" w:space="0"/>
                  </w:tcBorders>
                  <w:noWrap w:val="0"/>
                  <w:vAlign w:val="center"/>
                </w:tcPr>
                <w:p w14:paraId="3331DD28">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left"/>
                    <w:textAlignment w:val="baseline"/>
                    <w:rPr>
                      <w:rFonts w:hint="default"/>
                      <w:color w:val="auto"/>
                      <w:lang w:val="en-US" w:eastAsia="zh-CN"/>
                    </w:rPr>
                  </w:pPr>
                  <w:r>
                    <w:rPr>
                      <w:rFonts w:hint="default"/>
                      <w:color w:val="auto"/>
                      <w:lang w:val="en-US" w:eastAsia="zh-CN"/>
                    </w:rPr>
                    <w:t>在城市建成区新建大气污染型项目，二氧化硫、氮氧化物排放量应实行倍量削减替代。</w:t>
                  </w:r>
                </w:p>
              </w:tc>
              <w:tc>
                <w:tcPr>
                  <w:tcW w:w="1873" w:type="dxa"/>
                  <w:noWrap w:val="0"/>
                  <w:vAlign w:val="center"/>
                </w:tcPr>
                <w:p w14:paraId="6B26697C">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default"/>
                      <w:color w:val="auto"/>
                    </w:rPr>
                  </w:pPr>
                  <w:r>
                    <w:rPr>
                      <w:rFonts w:hint="default"/>
                      <w:color w:val="auto"/>
                    </w:rPr>
                    <w:t>项目不涉及二氧化硫、氮氧化物排放。</w:t>
                  </w:r>
                </w:p>
              </w:tc>
              <w:tc>
                <w:tcPr>
                  <w:tcW w:w="801" w:type="dxa"/>
                  <w:noWrap w:val="0"/>
                  <w:vAlign w:val="center"/>
                </w:tcPr>
                <w:p w14:paraId="1B9AE4EE">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eastAsia"/>
                      <w:color w:val="auto"/>
                      <w:lang w:val="en-US" w:eastAsia="zh-CN"/>
                    </w:rPr>
                  </w:pPr>
                  <w:r>
                    <w:rPr>
                      <w:rFonts w:hint="eastAsia"/>
                      <w:color w:val="auto"/>
                      <w:lang w:val="en-US" w:eastAsia="zh-CN"/>
                    </w:rPr>
                    <w:t>符合</w:t>
                  </w:r>
                </w:p>
              </w:tc>
            </w:tr>
          </w:tbl>
          <w:p w14:paraId="539479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2" w:firstLineChars="200"/>
              <w:textAlignment w:val="auto"/>
              <w:rPr>
                <w:rFonts w:hint="default"/>
                <w:color w:val="auto"/>
                <w:sz w:val="21"/>
                <w:szCs w:val="21"/>
                <w:lang w:val="en-US" w:eastAsia="zh-CN"/>
              </w:rPr>
            </w:pPr>
            <w:r>
              <w:rPr>
                <w:rFonts w:hint="default"/>
                <w:b/>
                <w:bCs/>
                <w:color w:val="auto"/>
                <w:sz w:val="21"/>
                <w:szCs w:val="21"/>
                <w:lang w:val="en-US" w:eastAsia="zh-CN"/>
              </w:rPr>
              <w:t>（</w:t>
            </w:r>
            <w:r>
              <w:rPr>
                <w:rFonts w:hint="eastAsia"/>
                <w:b/>
                <w:bCs/>
                <w:color w:val="auto"/>
                <w:sz w:val="21"/>
                <w:szCs w:val="21"/>
                <w:lang w:val="en-US" w:eastAsia="zh-CN"/>
              </w:rPr>
              <w:t>8</w:t>
            </w:r>
            <w:r>
              <w:rPr>
                <w:rFonts w:hint="default"/>
                <w:b/>
                <w:bCs/>
                <w:color w:val="auto"/>
                <w:sz w:val="21"/>
                <w:szCs w:val="21"/>
                <w:lang w:val="en-US" w:eastAsia="zh-CN"/>
              </w:rPr>
              <w:t>）与泉州市生态环境分区管控相符性分析</w:t>
            </w:r>
          </w:p>
          <w:p w14:paraId="2E9B772F">
            <w:pPr>
              <w:pStyle w:val="24"/>
              <w:keepNext w:val="0"/>
              <w:keepLines w:val="0"/>
              <w:pageBreakBefore w:val="0"/>
              <w:widowControl w:val="0"/>
              <w:suppressLineNumbers w:val="0"/>
              <w:kinsoku/>
              <w:wordWrap/>
              <w:overflowPunct/>
              <w:topLinePunct w:val="0"/>
              <w:autoSpaceDE/>
              <w:autoSpaceDN/>
              <w:bidi w:val="0"/>
              <w:adjustRightInd/>
              <w:spacing w:before="0" w:beforeAutospacing="0" w:after="0"/>
              <w:ind w:right="0" w:firstLine="420" w:firstLineChars="200"/>
              <w:jc w:val="both"/>
              <w:textAlignment w:val="auto"/>
              <w:rPr>
                <w:rFonts w:hint="default"/>
                <w:color w:val="auto"/>
                <w:sz w:val="21"/>
                <w:szCs w:val="21"/>
              </w:rPr>
            </w:pPr>
            <w:bookmarkStart w:id="1" w:name="OLE_LINK324"/>
            <w:r>
              <w:rPr>
                <w:rFonts w:hint="default"/>
                <w:color w:val="auto"/>
                <w:sz w:val="21"/>
                <w:szCs w:val="21"/>
                <w:highlight w:val="none"/>
              </w:rPr>
              <w:t>泉州市</w:t>
            </w:r>
            <w:r>
              <w:rPr>
                <w:rFonts w:hint="eastAsia"/>
                <w:color w:val="auto"/>
                <w:sz w:val="21"/>
                <w:szCs w:val="21"/>
                <w:highlight w:val="none"/>
              </w:rPr>
              <w:t>生态环境局</w:t>
            </w:r>
            <w:bookmarkEnd w:id="1"/>
            <w:r>
              <w:rPr>
                <w:rFonts w:hint="default"/>
                <w:color w:val="auto"/>
                <w:sz w:val="21"/>
                <w:szCs w:val="21"/>
                <w:highlight w:val="none"/>
              </w:rPr>
              <w:t>于202</w:t>
            </w:r>
            <w:r>
              <w:rPr>
                <w:rFonts w:hint="eastAsia"/>
                <w:color w:val="auto"/>
                <w:sz w:val="21"/>
                <w:szCs w:val="21"/>
                <w:highlight w:val="none"/>
              </w:rPr>
              <w:t>4</w:t>
            </w:r>
            <w:r>
              <w:rPr>
                <w:rFonts w:hint="default"/>
                <w:color w:val="auto"/>
                <w:sz w:val="21"/>
                <w:szCs w:val="21"/>
                <w:highlight w:val="none"/>
              </w:rPr>
              <w:t>年</w:t>
            </w:r>
            <w:r>
              <w:rPr>
                <w:rFonts w:hint="eastAsia"/>
                <w:color w:val="auto"/>
                <w:sz w:val="21"/>
                <w:szCs w:val="21"/>
                <w:highlight w:val="none"/>
              </w:rPr>
              <w:t>8</w:t>
            </w:r>
            <w:r>
              <w:rPr>
                <w:rFonts w:hint="default"/>
                <w:color w:val="auto"/>
                <w:sz w:val="21"/>
                <w:szCs w:val="21"/>
                <w:highlight w:val="none"/>
              </w:rPr>
              <w:t>月</w:t>
            </w:r>
            <w:r>
              <w:rPr>
                <w:rFonts w:hint="eastAsia"/>
                <w:color w:val="auto"/>
                <w:sz w:val="21"/>
                <w:szCs w:val="21"/>
                <w:highlight w:val="none"/>
              </w:rPr>
              <w:t>13</w:t>
            </w:r>
            <w:r>
              <w:rPr>
                <w:rFonts w:hint="default"/>
                <w:color w:val="auto"/>
                <w:sz w:val="21"/>
                <w:szCs w:val="21"/>
                <w:highlight w:val="none"/>
              </w:rPr>
              <w:t>日发布了《泉州市</w:t>
            </w:r>
            <w:r>
              <w:rPr>
                <w:rFonts w:hint="eastAsia"/>
                <w:color w:val="auto"/>
                <w:sz w:val="21"/>
                <w:szCs w:val="21"/>
                <w:highlight w:val="none"/>
              </w:rPr>
              <w:t>生态环境局</w:t>
            </w:r>
            <w:r>
              <w:rPr>
                <w:rFonts w:hint="default"/>
                <w:color w:val="auto"/>
                <w:sz w:val="21"/>
                <w:szCs w:val="21"/>
                <w:highlight w:val="none"/>
              </w:rPr>
              <w:t>关于</w:t>
            </w:r>
            <w:r>
              <w:rPr>
                <w:rFonts w:hint="eastAsia"/>
                <w:color w:val="auto"/>
                <w:sz w:val="21"/>
                <w:szCs w:val="21"/>
                <w:highlight w:val="none"/>
              </w:rPr>
              <w:t>发布泉州市2023年生态环境分区</w:t>
            </w:r>
            <w:r>
              <w:rPr>
                <w:rFonts w:hint="default"/>
                <w:color w:val="auto"/>
                <w:sz w:val="21"/>
                <w:szCs w:val="21"/>
                <w:highlight w:val="none"/>
              </w:rPr>
              <w:t>管控</w:t>
            </w:r>
            <w:r>
              <w:rPr>
                <w:rFonts w:hint="eastAsia"/>
                <w:color w:val="auto"/>
                <w:sz w:val="21"/>
                <w:szCs w:val="21"/>
                <w:highlight w:val="none"/>
              </w:rPr>
              <w:t>动态更新成果</w:t>
            </w:r>
            <w:r>
              <w:rPr>
                <w:rFonts w:hint="default"/>
                <w:color w:val="auto"/>
                <w:sz w:val="21"/>
                <w:szCs w:val="21"/>
                <w:highlight w:val="none"/>
              </w:rPr>
              <w:t>的通知》（泉</w:t>
            </w:r>
            <w:r>
              <w:rPr>
                <w:rFonts w:hint="eastAsia"/>
                <w:color w:val="auto"/>
                <w:sz w:val="21"/>
                <w:szCs w:val="21"/>
                <w:highlight w:val="none"/>
              </w:rPr>
              <w:t>环保</w:t>
            </w:r>
            <w:r>
              <w:rPr>
                <w:rFonts w:hint="default"/>
                <w:color w:val="auto"/>
                <w:sz w:val="21"/>
                <w:szCs w:val="21"/>
                <w:highlight w:val="none"/>
              </w:rPr>
              <w:t>【202</w:t>
            </w:r>
            <w:r>
              <w:rPr>
                <w:rFonts w:hint="eastAsia"/>
                <w:color w:val="auto"/>
                <w:sz w:val="21"/>
                <w:szCs w:val="21"/>
                <w:highlight w:val="none"/>
              </w:rPr>
              <w:t>4</w:t>
            </w:r>
            <w:r>
              <w:rPr>
                <w:rFonts w:hint="default"/>
                <w:color w:val="auto"/>
                <w:sz w:val="21"/>
                <w:szCs w:val="21"/>
                <w:highlight w:val="none"/>
              </w:rPr>
              <w:t>】</w:t>
            </w:r>
            <w:r>
              <w:rPr>
                <w:rFonts w:hint="eastAsia"/>
                <w:color w:val="auto"/>
                <w:sz w:val="21"/>
                <w:szCs w:val="21"/>
                <w:highlight w:val="none"/>
              </w:rPr>
              <w:t>64</w:t>
            </w:r>
            <w:r>
              <w:rPr>
                <w:rFonts w:hint="default"/>
                <w:color w:val="auto"/>
                <w:sz w:val="21"/>
                <w:szCs w:val="21"/>
                <w:highlight w:val="none"/>
              </w:rPr>
              <w:t>号），实施</w:t>
            </w:r>
            <w:r>
              <w:rPr>
                <w:rFonts w:hint="eastAsia" w:ascii="宋体" w:hAnsi="宋体" w:cs="宋体"/>
                <w:color w:val="auto"/>
                <w:sz w:val="21"/>
                <w:szCs w:val="21"/>
                <w:highlight w:val="none"/>
              </w:rPr>
              <w:t>“三线一单”</w:t>
            </w:r>
            <w:r>
              <w:rPr>
                <w:rFonts w:hint="default"/>
                <w:color w:val="auto"/>
                <w:sz w:val="21"/>
                <w:szCs w:val="21"/>
                <w:highlight w:val="none"/>
              </w:rPr>
              <w:t>生态环境分区管控，对全市生态环境总体准入提出要求。</w:t>
            </w:r>
            <w:r>
              <w:rPr>
                <w:rFonts w:hint="default"/>
                <w:color w:val="auto"/>
                <w:sz w:val="21"/>
                <w:szCs w:val="21"/>
                <w:lang w:val="en-US" w:eastAsia="zh-CN"/>
              </w:rPr>
              <w:t>本项目位于泉州市惠安县城西台商创业基地（黄塘镇前郭村），属于惠安县重点管控单元</w:t>
            </w:r>
            <w:r>
              <w:rPr>
                <w:rFonts w:hint="eastAsia"/>
                <w:color w:val="auto"/>
                <w:sz w:val="21"/>
                <w:szCs w:val="21"/>
                <w:lang w:val="en-US" w:eastAsia="zh-CN"/>
              </w:rPr>
              <w:t>2和</w:t>
            </w:r>
            <w:r>
              <w:rPr>
                <w:rFonts w:hint="default"/>
                <w:color w:val="auto"/>
                <w:sz w:val="21"/>
                <w:szCs w:val="21"/>
                <w:lang w:val="en-US" w:eastAsia="zh-CN"/>
              </w:rPr>
              <w:t>惠安县重点管控单元5。项目与泉州市生态环境分区管控相符性详见</w:t>
            </w:r>
            <w:r>
              <w:rPr>
                <w:rFonts w:hint="default"/>
                <w:b/>
                <w:bCs/>
                <w:color w:val="auto"/>
                <w:sz w:val="21"/>
                <w:szCs w:val="21"/>
                <w:lang w:val="en-US" w:eastAsia="zh-CN"/>
              </w:rPr>
              <w:t>表1-</w:t>
            </w:r>
            <w:r>
              <w:rPr>
                <w:rFonts w:hint="eastAsia"/>
                <w:b/>
                <w:bCs/>
                <w:color w:val="auto"/>
                <w:sz w:val="21"/>
                <w:szCs w:val="21"/>
                <w:lang w:val="en-US" w:eastAsia="zh-CN"/>
              </w:rPr>
              <w:t>4</w:t>
            </w:r>
            <w:r>
              <w:rPr>
                <w:rFonts w:hint="default"/>
                <w:color w:val="auto"/>
                <w:sz w:val="21"/>
                <w:szCs w:val="21"/>
                <w:lang w:val="en-US" w:eastAsia="zh-CN"/>
              </w:rPr>
              <w:t>。</w:t>
            </w:r>
          </w:p>
          <w:p w14:paraId="668253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bCs/>
                <w:color w:val="auto"/>
                <w:sz w:val="21"/>
                <w:szCs w:val="21"/>
                <w:lang w:val="en-US" w:eastAsia="zh-CN"/>
              </w:rPr>
            </w:pPr>
            <w:r>
              <w:rPr>
                <w:rFonts w:hint="default"/>
                <w:b/>
                <w:bCs/>
                <w:color w:val="auto"/>
                <w:sz w:val="21"/>
                <w:szCs w:val="21"/>
                <w:lang w:val="en-US" w:eastAsia="zh-CN"/>
              </w:rPr>
              <w:t>表1</w:t>
            </w:r>
            <w:r>
              <w:rPr>
                <w:rFonts w:hint="eastAsia"/>
                <w:b/>
                <w:bCs/>
                <w:color w:val="auto"/>
                <w:sz w:val="21"/>
                <w:szCs w:val="21"/>
                <w:lang w:val="en-US" w:eastAsia="zh-CN"/>
              </w:rPr>
              <w:t>-4</w:t>
            </w:r>
            <w:r>
              <w:rPr>
                <w:rFonts w:hint="default"/>
                <w:b/>
                <w:bCs/>
                <w:color w:val="auto"/>
                <w:sz w:val="21"/>
                <w:szCs w:val="21"/>
                <w:lang w:val="en-US" w:eastAsia="zh-CN"/>
              </w:rPr>
              <w:t xml:space="preserve"> </w:t>
            </w:r>
            <w:r>
              <w:rPr>
                <w:rFonts w:hint="eastAsia"/>
                <w:b/>
                <w:bCs/>
                <w:color w:val="auto"/>
                <w:sz w:val="21"/>
                <w:szCs w:val="21"/>
                <w:lang w:val="en-US" w:eastAsia="zh-CN"/>
              </w:rPr>
              <w:t xml:space="preserve"> </w:t>
            </w:r>
            <w:r>
              <w:rPr>
                <w:rFonts w:hint="default"/>
                <w:b/>
                <w:bCs/>
                <w:color w:val="auto"/>
                <w:sz w:val="21"/>
                <w:szCs w:val="21"/>
                <w:lang w:val="en-US" w:eastAsia="zh-CN"/>
              </w:rPr>
              <w:t>与</w:t>
            </w:r>
            <w:r>
              <w:rPr>
                <w:rFonts w:hint="eastAsia"/>
                <w:b/>
                <w:bCs/>
                <w:color w:val="auto"/>
                <w:sz w:val="21"/>
                <w:szCs w:val="21"/>
                <w:lang w:val="en-US" w:eastAsia="zh-CN"/>
              </w:rPr>
              <w:t>泉州市</w:t>
            </w:r>
            <w:r>
              <w:rPr>
                <w:rFonts w:hint="default"/>
                <w:b/>
                <w:bCs/>
                <w:color w:val="auto"/>
                <w:sz w:val="21"/>
                <w:szCs w:val="21"/>
                <w:lang w:val="en-US" w:eastAsia="zh-CN"/>
              </w:rPr>
              <w:t>生态环境分区管控相符性分析一览表</w:t>
            </w:r>
          </w:p>
          <w:tbl>
            <w:tblPr>
              <w:tblStyle w:val="20"/>
              <w:tblW w:w="721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57"/>
              <w:gridCol w:w="559"/>
              <w:gridCol w:w="4190"/>
              <w:gridCol w:w="1396"/>
              <w:gridCol w:w="716"/>
            </w:tblGrid>
            <w:tr w14:paraId="30D6CC5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tblHeader/>
                <w:jc w:val="center"/>
              </w:trPr>
              <w:tc>
                <w:tcPr>
                  <w:tcW w:w="3536" w:type="pct"/>
                  <w:gridSpan w:val="3"/>
                  <w:noWrap w:val="0"/>
                  <w:vAlign w:val="center"/>
                </w:tcPr>
                <w:p w14:paraId="26A6763B">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textAlignment w:val="baseline"/>
                    <w:rPr>
                      <w:rFonts w:hint="default"/>
                      <w:b/>
                      <w:bCs/>
                      <w:color w:val="auto"/>
                      <w:lang w:val="en-US" w:eastAsia="zh-CN"/>
                    </w:rPr>
                  </w:pPr>
                  <w:r>
                    <w:rPr>
                      <w:rFonts w:hint="eastAsia"/>
                      <w:b/>
                      <w:bCs/>
                      <w:color w:val="auto"/>
                      <w:lang w:val="en-US" w:eastAsia="zh-CN"/>
                    </w:rPr>
                    <w:t>管控要求</w:t>
                  </w:r>
                </w:p>
              </w:tc>
              <w:tc>
                <w:tcPr>
                  <w:tcW w:w="967" w:type="pct"/>
                  <w:noWrap w:val="0"/>
                  <w:vAlign w:val="center"/>
                </w:tcPr>
                <w:p w14:paraId="42D87E50">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63" w:leftChars="-30" w:right="-63" w:rightChars="-30"/>
                    <w:textAlignment w:val="baseline"/>
                    <w:rPr>
                      <w:rFonts w:hint="default"/>
                      <w:b/>
                      <w:bCs/>
                      <w:color w:val="auto"/>
                    </w:rPr>
                  </w:pPr>
                  <w:r>
                    <w:rPr>
                      <w:rFonts w:hint="default"/>
                      <w:b/>
                      <w:bCs/>
                      <w:color w:val="auto"/>
                      <w:lang w:val="en-US" w:eastAsia="zh-CN"/>
                    </w:rPr>
                    <w:t>项目情况</w:t>
                  </w:r>
                </w:p>
              </w:tc>
              <w:tc>
                <w:tcPr>
                  <w:tcW w:w="495" w:type="pct"/>
                  <w:noWrap w:val="0"/>
                  <w:vAlign w:val="center"/>
                </w:tcPr>
                <w:p w14:paraId="238DC501">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84" w:leftChars="-40" w:right="-63" w:rightChars="-30"/>
                    <w:textAlignment w:val="baseline"/>
                    <w:rPr>
                      <w:rFonts w:hint="default"/>
                      <w:b/>
                      <w:bCs/>
                      <w:color w:val="auto"/>
                    </w:rPr>
                  </w:pPr>
                  <w:r>
                    <w:rPr>
                      <w:rFonts w:hint="default"/>
                      <w:b/>
                      <w:bCs/>
                      <w:color w:val="auto"/>
                      <w:lang w:val="en-US" w:eastAsia="zh-CN"/>
                    </w:rPr>
                    <w:t>相符性</w:t>
                  </w:r>
                </w:p>
              </w:tc>
            </w:tr>
            <w:tr w14:paraId="319904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7" w:type="pct"/>
                  <w:vMerge w:val="restart"/>
                  <w:tcBorders>
                    <w:right w:val="single" w:color="auto" w:sz="4" w:space="0"/>
                  </w:tcBorders>
                  <w:noWrap w:val="0"/>
                  <w:vAlign w:val="center"/>
                </w:tcPr>
                <w:p w14:paraId="798D9C27">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default"/>
                      <w:color w:val="auto"/>
                      <w:lang w:val="en-US" w:eastAsia="zh-CN"/>
                    </w:rPr>
                  </w:pPr>
                  <w:r>
                    <w:rPr>
                      <w:rFonts w:hint="eastAsia"/>
                      <w:color w:val="auto"/>
                      <w:lang w:val="en-US" w:eastAsia="zh-CN"/>
                    </w:rPr>
                    <w:t>泉州</w:t>
                  </w:r>
                  <w:r>
                    <w:rPr>
                      <w:rFonts w:hint="default"/>
                      <w:color w:val="auto"/>
                      <w:lang w:val="en-US" w:eastAsia="zh-CN"/>
                    </w:rPr>
                    <w:t>市总体</w:t>
                  </w:r>
                  <w:r>
                    <w:rPr>
                      <w:rFonts w:hint="eastAsia"/>
                      <w:color w:val="auto"/>
                      <w:lang w:val="en-US" w:eastAsia="zh-CN"/>
                    </w:rPr>
                    <w:t>陆域</w:t>
                  </w:r>
                </w:p>
              </w:tc>
              <w:tc>
                <w:tcPr>
                  <w:tcW w:w="387" w:type="pct"/>
                  <w:tcBorders>
                    <w:right w:val="single" w:color="auto" w:sz="4" w:space="0"/>
                  </w:tcBorders>
                  <w:noWrap w:val="0"/>
                  <w:vAlign w:val="center"/>
                </w:tcPr>
                <w:p w14:paraId="05484B1C">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jc w:val="center"/>
                    <w:textAlignment w:val="baseline"/>
                    <w:rPr>
                      <w:rFonts w:hint="eastAsia"/>
                      <w:color w:val="auto"/>
                      <w:lang w:val="en-US" w:eastAsia="zh-CN"/>
                    </w:rPr>
                  </w:pPr>
                  <w:r>
                    <w:rPr>
                      <w:rFonts w:hint="eastAsia"/>
                      <w:color w:val="auto"/>
                      <w:lang w:val="en-US" w:eastAsia="zh-CN"/>
                    </w:rPr>
                    <w:t>空间布局约束</w:t>
                  </w:r>
                </w:p>
              </w:tc>
              <w:tc>
                <w:tcPr>
                  <w:tcW w:w="2902" w:type="pct"/>
                  <w:tcBorders>
                    <w:left w:val="single" w:color="auto" w:sz="4" w:space="0"/>
                  </w:tcBorders>
                  <w:noWrap w:val="0"/>
                  <w:vAlign w:val="center"/>
                </w:tcPr>
                <w:p w14:paraId="16FF23D9">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三、其它要求</w:t>
                  </w:r>
                </w:p>
                <w:p w14:paraId="746CE2D1">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1.除湄洲湾石化基地外，其他地方不再布局新的石化中上游项目。</w:t>
                  </w:r>
                </w:p>
                <w:p w14:paraId="72490CAE">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2.未经市委、市政府同意，禁止新建制革、造纸、电镀、漂染等重污染项目。</w:t>
                  </w:r>
                </w:p>
                <w:p w14:paraId="595A03EB">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3.新建、扩建的涉及重点重金属污染物</w:t>
                  </w:r>
                  <w:r>
                    <w:rPr>
                      <w:rFonts w:hint="default"/>
                      <w:color w:val="auto"/>
                      <w:vertAlign w:val="superscript"/>
                      <w:lang w:val="en-US" w:eastAsia="zh-CN"/>
                    </w:rPr>
                    <w:t>［1］</w:t>
                  </w:r>
                  <w:r>
                    <w:rPr>
                      <w:rFonts w:hint="default"/>
                      <w:color w:val="auto"/>
                      <w:lang w:val="en-US" w:eastAsia="zh-CN"/>
                    </w:rPr>
                    <w:t>的有色金属冶炼、电镀、制革、铅蓄电池制造企业应优先选择布设在依法合规设立并经规划环评、环境基础设施和环境风险防范措施齐全的产业园区。禁止低端落后产能向晋江、洛阳江流域上游转移。禁止新建用汞的电石法（聚）氯乙烯生产工艺。加快推进专业电镀企业入园，到2025年底专业电镀企业入园率达到90%以上。</w:t>
                  </w:r>
                </w:p>
                <w:p w14:paraId="18646B67">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4.持续加强晋江、南安等地建陶产业和德化等地日用陶瓷产业的环境综合治理，充分衔接国土空间规划和生态环境分区管控，并对照产业政策、城市总体发展规划等要求，进一步明确发展定位，优化产业布局和规模。</w:t>
                  </w:r>
                </w:p>
                <w:p w14:paraId="248E5157">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5.引导石化、化工、工业涂装、包装印刷、合成革、化纤、纺织印染、制鞋等重点行业合理布局，限制高VOCs排放化工类建设项目，禁止建设生产和使用VOCs含量限值不符合国家标准的涂料、油墨、胶粘剂、清洗剂等项目。</w:t>
                  </w:r>
                </w:p>
                <w:p w14:paraId="37ED1CC0">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6.禁止在流域上游新建、扩建重污染企业和项目。</w:t>
                  </w:r>
                </w:p>
                <w:p w14:paraId="1D36903B">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7.禁止重污染企业和项目向流域上游转移，禁止在水环境质量不稳定达标的区域内，建设新增相应不达标污染指标排放量的工业项目；严格限制新建水电项目。</w:t>
                  </w:r>
                </w:p>
                <w:p w14:paraId="3A8E953F">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8.禁止在通风廊道和主导风向的上风向布局大气重污染企业，推进建成区大气重污染企业搬迁或升级改造、环境风险企业搬迁或关闭退出。</w:t>
                  </w:r>
                </w:p>
                <w:p w14:paraId="74A6CFA4">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9.单元内涉及永久基本农田的，应按照《福建省基本农田保护条例》（2010年修正本）、《国土资源部关于全面实行永久基本农田特殊保护的通知》（国土资规〔2018〕1号）、《中共中央国务院关于加强耕地保护和改进占补平衡的意见》（2017年1月9日）等相关文件要求进行严格管理。一般建设项目不得占用永久基本农田，重大建设项目选址确实难以避让永久基本农田的，必须依法依规办理。严禁通过擅自调整县乡国土空间规划，规避占用永久基本农田的审批，禁止随意砍伐防风固沙林和农田保护林。严格按照自然资源部、农业农村部、国家林业和草原局《关于严格耕地用途管制有关问题的通知》(自然资发〔2021〕166号)要求全面落实耕地用途管制。</w:t>
                  </w:r>
                </w:p>
              </w:tc>
              <w:tc>
                <w:tcPr>
                  <w:tcW w:w="967" w:type="pct"/>
                  <w:noWrap w:val="0"/>
                  <w:vAlign w:val="center"/>
                </w:tcPr>
                <w:p w14:paraId="6591B6C7">
                  <w:pPr>
                    <w:keepNext w:val="0"/>
                    <w:keepLines w:val="0"/>
                    <w:pageBreakBefore w:val="0"/>
                    <w:widowControl/>
                    <w:suppressLineNumbers w:val="0"/>
                    <w:kinsoku/>
                    <w:wordWrap/>
                    <w:topLinePunct w:val="0"/>
                    <w:autoSpaceDE/>
                    <w:autoSpaceDN/>
                    <w:bidi w:val="0"/>
                    <w:spacing w:before="0" w:beforeAutospacing="0" w:after="0" w:afterAutospacing="0" w:line="240" w:lineRule="auto"/>
                    <w:ind w:left="-63" w:leftChars="-30" w:right="-63" w:rightChars="-30"/>
                    <w:jc w:val="center"/>
                    <w:rPr>
                      <w:rFonts w:hint="default"/>
                      <w:color w:val="auto"/>
                      <w:lang w:val="en-US" w:eastAsia="zh-CN"/>
                    </w:rPr>
                  </w:pPr>
                  <w:r>
                    <w:rPr>
                      <w:rFonts w:hint="default"/>
                      <w:color w:val="auto"/>
                      <w:lang w:val="en-US" w:eastAsia="zh-CN"/>
                    </w:rPr>
                    <w:t>本项目</w:t>
                  </w:r>
                  <w:r>
                    <w:rPr>
                      <w:rFonts w:hint="eastAsia"/>
                      <w:color w:val="auto"/>
                      <w:lang w:val="en-US" w:eastAsia="zh-CN"/>
                    </w:rPr>
                    <w:t>主要从事经期裤、护垫、卫生巾</w:t>
                  </w:r>
                  <w:r>
                    <w:rPr>
                      <w:rFonts w:hint="eastAsia"/>
                      <w:b w:val="0"/>
                      <w:bCs w:val="0"/>
                      <w:color w:val="auto"/>
                      <w:szCs w:val="24"/>
                      <w:lang w:val="en-US" w:eastAsia="zh-CN"/>
                    </w:rPr>
                    <w:t>生产，</w:t>
                  </w:r>
                  <w:r>
                    <w:rPr>
                      <w:rFonts w:hint="eastAsia"/>
                      <w:color w:val="auto"/>
                      <w:lang w:val="en-US" w:eastAsia="zh-CN"/>
                    </w:rPr>
                    <w:t>不属于</w:t>
                  </w:r>
                  <w:r>
                    <w:rPr>
                      <w:rFonts w:hint="default"/>
                      <w:color w:val="auto"/>
                      <w:lang w:val="en-US" w:eastAsia="zh-CN"/>
                    </w:rPr>
                    <w:t>制革、造纸、电镀、漂染等重污染项目</w:t>
                  </w:r>
                  <w:r>
                    <w:rPr>
                      <w:rFonts w:hint="eastAsia"/>
                      <w:color w:val="auto"/>
                      <w:lang w:val="en-US" w:eastAsia="zh-CN"/>
                    </w:rPr>
                    <w:t>；且不属于需逐步退出行业。</w:t>
                  </w:r>
                </w:p>
              </w:tc>
              <w:tc>
                <w:tcPr>
                  <w:tcW w:w="495" w:type="pct"/>
                  <w:noWrap w:val="0"/>
                  <w:vAlign w:val="center"/>
                </w:tcPr>
                <w:p w14:paraId="7FE6373C">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textAlignment w:val="baseline"/>
                    <w:rPr>
                      <w:rFonts w:hint="default"/>
                      <w:color w:val="auto"/>
                      <w:lang w:val="en-US" w:eastAsia="zh-CN"/>
                    </w:rPr>
                  </w:pPr>
                  <w:r>
                    <w:rPr>
                      <w:rFonts w:hint="eastAsia"/>
                      <w:color w:val="auto"/>
                      <w:lang w:val="en-US" w:eastAsia="zh-CN"/>
                    </w:rPr>
                    <w:t>符合</w:t>
                  </w:r>
                </w:p>
              </w:tc>
            </w:tr>
            <w:tr w14:paraId="52F1A3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7" w:type="pct"/>
                  <w:vMerge w:val="continue"/>
                  <w:tcBorders>
                    <w:right w:val="single" w:color="auto" w:sz="4" w:space="0"/>
                  </w:tcBorders>
                  <w:noWrap w:val="0"/>
                  <w:vAlign w:val="center"/>
                </w:tcPr>
                <w:p w14:paraId="35AD5E00">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default"/>
                      <w:color w:val="auto"/>
                      <w:lang w:val="en-US" w:eastAsia="zh-CN"/>
                    </w:rPr>
                  </w:pPr>
                </w:p>
              </w:tc>
              <w:tc>
                <w:tcPr>
                  <w:tcW w:w="387" w:type="pct"/>
                  <w:tcBorders>
                    <w:right w:val="single" w:color="auto" w:sz="4" w:space="0"/>
                  </w:tcBorders>
                  <w:noWrap w:val="0"/>
                  <w:vAlign w:val="center"/>
                </w:tcPr>
                <w:p w14:paraId="425B4AAF">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jc w:val="center"/>
                    <w:textAlignment w:val="baseline"/>
                    <w:rPr>
                      <w:rFonts w:hint="eastAsia"/>
                      <w:color w:val="auto"/>
                      <w:lang w:val="en-US" w:eastAsia="zh-CN"/>
                    </w:rPr>
                  </w:pPr>
                  <w:r>
                    <w:rPr>
                      <w:rFonts w:hint="eastAsia"/>
                      <w:color w:val="auto"/>
                      <w:lang w:val="en-US" w:eastAsia="zh-CN"/>
                    </w:rPr>
                    <w:t>污染物排放管控</w:t>
                  </w:r>
                </w:p>
              </w:tc>
              <w:tc>
                <w:tcPr>
                  <w:tcW w:w="2902" w:type="pct"/>
                  <w:tcBorders>
                    <w:left w:val="single" w:color="auto" w:sz="4" w:space="0"/>
                  </w:tcBorders>
                  <w:noWrap w:val="0"/>
                  <w:vAlign w:val="center"/>
                </w:tcPr>
                <w:p w14:paraId="327E33F9">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1.大力推进石化、化工、工业涂装、包装印刷、制鞋、化纤、纺织印染等行业以及油品储运销等领域治理，重点加强石化、制鞋行业VOCs全过程治理。涉新增VOCs排放项目，实施区域内VOCs排放实行等量或倍量替代，替代来源应来自同一县（市、区）的</w:t>
                  </w:r>
                  <w:r>
                    <w:rPr>
                      <w:rFonts w:hint="eastAsia" w:ascii="宋体" w:hAnsi="宋体" w:eastAsia="宋体" w:cs="宋体"/>
                      <w:color w:val="auto"/>
                      <w:lang w:val="en-US" w:eastAsia="zh-CN"/>
                    </w:rPr>
                    <w:t>“十四五”期</w:t>
                  </w:r>
                  <w:r>
                    <w:rPr>
                      <w:rFonts w:hint="default"/>
                      <w:color w:val="auto"/>
                      <w:lang w:val="en-US" w:eastAsia="zh-CN"/>
                    </w:rPr>
                    <w:t>间的治理减排项目。</w:t>
                  </w:r>
                </w:p>
                <w:p w14:paraId="1CC52357">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2.新、改、扩建重点行业</w:t>
                  </w:r>
                  <w:r>
                    <w:rPr>
                      <w:rFonts w:hint="default"/>
                      <w:color w:val="auto"/>
                      <w:vertAlign w:val="superscript"/>
                      <w:lang w:val="en-US" w:eastAsia="zh-CN"/>
                    </w:rPr>
                    <w:t>［2］</w:t>
                  </w:r>
                  <w:r>
                    <w:rPr>
                      <w:rFonts w:hint="default"/>
                      <w:color w:val="auto"/>
                      <w:lang w:val="en-US" w:eastAsia="zh-CN"/>
                    </w:rPr>
                    <w:t>建设项目要遵循重点重金属污染物排放</w:t>
                  </w:r>
                  <w:r>
                    <w:rPr>
                      <w:rFonts w:hint="eastAsia" w:ascii="宋体" w:hAnsi="宋体" w:eastAsia="宋体" w:cs="宋体"/>
                      <w:color w:val="auto"/>
                      <w:lang w:val="en-US" w:eastAsia="zh-CN"/>
                    </w:rPr>
                    <w:t>“等量替代”</w:t>
                  </w:r>
                  <w:r>
                    <w:rPr>
                      <w:rFonts w:hint="default"/>
                      <w:color w:val="auto"/>
                      <w:lang w:val="en-US" w:eastAsia="zh-CN"/>
                    </w:rPr>
                    <w:t>原则，总量来源原则上应是同一重点行业内的削减量，当同一重点行业无法满足时可从其他重点行业调剂。</w:t>
                  </w:r>
                </w:p>
                <w:p w14:paraId="557EAD82">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3.每小时35（含）</w:t>
                  </w:r>
                  <w:r>
                    <w:rPr>
                      <w:rFonts w:hint="eastAsia" w:ascii="宋体" w:hAnsi="宋体" w:eastAsia="宋体" w:cs="宋体"/>
                      <w:color w:val="auto"/>
                      <w:lang w:val="en-US" w:eastAsia="zh-CN"/>
                    </w:rPr>
                    <w:t>—</w:t>
                  </w:r>
                  <w:r>
                    <w:rPr>
                      <w:rFonts w:hint="default"/>
                      <w:color w:val="auto"/>
                      <w:lang w:val="en-US" w:eastAsia="zh-CN"/>
                    </w:rPr>
                    <w:t>65蒸吨燃煤锅炉2023年底前必须全面实现超低排放。</w:t>
                  </w:r>
                </w:p>
                <w:p w14:paraId="746FA08E">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4.水泥行业新改扩建项目严格对照超低排放、能效标杆水平建设实施；现有项目超低排放改造应按文件（闽环规〔2023〕2号）的时限要求分步推进，2025年底前全面完成</w:t>
                  </w:r>
                  <w:r>
                    <w:rPr>
                      <w:rFonts w:hint="default"/>
                      <w:color w:val="auto"/>
                      <w:vertAlign w:val="superscript"/>
                      <w:lang w:val="en-US" w:eastAsia="zh-CN"/>
                    </w:rPr>
                    <w:t>［3］［4］</w:t>
                  </w:r>
                  <w:r>
                    <w:rPr>
                      <w:rFonts w:hint="default"/>
                      <w:color w:val="auto"/>
                      <w:lang w:val="en-US" w:eastAsia="zh-CN"/>
                    </w:rPr>
                    <w:t>。</w:t>
                  </w:r>
                </w:p>
                <w:p w14:paraId="6D86AA3C">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5.化工园区新建项目实施</w:t>
                  </w:r>
                  <w:r>
                    <w:rPr>
                      <w:rFonts w:hint="eastAsia" w:ascii="宋体" w:hAnsi="宋体" w:eastAsia="宋体" w:cs="宋体"/>
                      <w:color w:val="auto"/>
                      <w:lang w:val="en-US" w:eastAsia="zh-CN"/>
                    </w:rPr>
                    <w:t>“禁限控”</w:t>
                  </w:r>
                  <w:r>
                    <w:rPr>
                      <w:rFonts w:hint="default"/>
                      <w:color w:val="auto"/>
                      <w:lang w:val="en-US" w:eastAsia="zh-CN"/>
                    </w:rPr>
                    <w:t>化学物质管控措施，项目在开展环境影响评价时应严格落实相关要求，严格涉新污染物建设项目源头防控和准入管理。以印染、皮革、农药、医药、涂料等行业为重点，推进有毒有害化学物质替代。严格落实废药品、废农药以及抗生素生产过程中产生的废母液、废反应基和废培养基等废物的收集利用处置要求。</w:t>
                  </w:r>
                </w:p>
                <w:p w14:paraId="2D9553E3">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210" w:firstLineChars="100"/>
                    <w:jc w:val="both"/>
                    <w:textAlignment w:val="baseline"/>
                    <w:rPr>
                      <w:rFonts w:hint="default"/>
                      <w:color w:val="auto"/>
                      <w:lang w:val="en-US" w:eastAsia="zh-CN"/>
                    </w:rPr>
                  </w:pPr>
                  <w:r>
                    <w:rPr>
                      <w:rFonts w:hint="default"/>
                      <w:color w:val="auto"/>
                      <w:lang w:val="en-US" w:eastAsia="zh-CN"/>
                    </w:rPr>
                    <w:t>6.新（改、扩）建项目新增主要污染物（水污染物化学需氧量、氨氮和大气污染物二氧化硫、氮氧化物），应充分考虑当地环境质量和区域总量控制要求，立足于通过</w:t>
                  </w:r>
                  <w:r>
                    <w:rPr>
                      <w:rFonts w:hint="eastAsia" w:ascii="宋体" w:hAnsi="宋体" w:eastAsia="宋体" w:cs="宋体"/>
                      <w:color w:val="auto"/>
                      <w:lang w:val="en-US" w:eastAsia="zh-CN"/>
                    </w:rPr>
                    <w:t>“以新带老”</w:t>
                  </w:r>
                  <w:r>
                    <w:rPr>
                      <w:rFonts w:hint="default"/>
                      <w:color w:val="auto"/>
                      <w:lang w:val="en-US" w:eastAsia="zh-CN"/>
                    </w:rPr>
                    <w:t>、削减存量，努力实现企业自身总量平衡。总量指标来源、审核和监督管理按照</w:t>
                  </w:r>
                  <w:r>
                    <w:rPr>
                      <w:rFonts w:hint="eastAsia" w:ascii="宋体" w:hAnsi="宋体" w:eastAsia="宋体" w:cs="宋体"/>
                      <w:color w:val="auto"/>
                      <w:lang w:val="en-US" w:eastAsia="zh-CN"/>
                    </w:rPr>
                    <w:t>“</w:t>
                  </w:r>
                  <w:r>
                    <w:rPr>
                      <w:rFonts w:hint="default"/>
                      <w:color w:val="auto"/>
                      <w:lang w:val="en-US" w:eastAsia="zh-CN"/>
                    </w:rPr>
                    <w:t>闽环发〔2014〕13号</w:t>
                  </w:r>
                  <w:r>
                    <w:rPr>
                      <w:rFonts w:hint="eastAsia" w:ascii="宋体" w:hAnsi="宋体" w:eastAsia="宋体" w:cs="宋体"/>
                      <w:color w:val="auto"/>
                      <w:lang w:val="en-US" w:eastAsia="zh-CN"/>
                    </w:rPr>
                    <w:t>”“</w:t>
                  </w:r>
                  <w:r>
                    <w:rPr>
                      <w:rFonts w:hint="default"/>
                      <w:color w:val="auto"/>
                      <w:lang w:val="en-US" w:eastAsia="zh-CN"/>
                    </w:rPr>
                    <w:t>闽政〔2016〕54号</w:t>
                  </w:r>
                  <w:r>
                    <w:rPr>
                      <w:rFonts w:hint="eastAsia" w:ascii="宋体" w:hAnsi="宋体" w:eastAsia="宋体" w:cs="宋体"/>
                      <w:color w:val="auto"/>
                      <w:lang w:val="en-US" w:eastAsia="zh-CN"/>
                    </w:rPr>
                    <w:t>”</w:t>
                  </w:r>
                  <w:r>
                    <w:rPr>
                      <w:rFonts w:hint="default"/>
                      <w:color w:val="auto"/>
                      <w:lang w:val="en-US" w:eastAsia="zh-CN"/>
                    </w:rPr>
                    <w:t>等相关文件执行。</w:t>
                  </w:r>
                </w:p>
              </w:tc>
              <w:tc>
                <w:tcPr>
                  <w:tcW w:w="967" w:type="pct"/>
                  <w:noWrap w:val="0"/>
                  <w:vAlign w:val="center"/>
                </w:tcPr>
                <w:p w14:paraId="5F4BA553">
                  <w:pPr>
                    <w:keepNext w:val="0"/>
                    <w:keepLines w:val="0"/>
                    <w:pageBreakBefore w:val="0"/>
                    <w:widowControl/>
                    <w:suppressLineNumbers w:val="0"/>
                    <w:kinsoku/>
                    <w:wordWrap/>
                    <w:topLinePunct w:val="0"/>
                    <w:autoSpaceDE/>
                    <w:autoSpaceDN/>
                    <w:bidi w:val="0"/>
                    <w:spacing w:before="0" w:beforeAutospacing="0" w:after="0" w:afterAutospacing="0" w:line="240" w:lineRule="auto"/>
                    <w:ind w:left="-63" w:leftChars="-30" w:right="-63" w:rightChars="-30"/>
                    <w:jc w:val="center"/>
                    <w:rPr>
                      <w:rFonts w:hint="default"/>
                      <w:color w:val="auto"/>
                      <w:lang w:val="en-US"/>
                    </w:rPr>
                  </w:pPr>
                  <w:r>
                    <w:rPr>
                      <w:rFonts w:hint="eastAsia"/>
                      <w:color w:val="auto"/>
                      <w:lang w:val="en-US" w:eastAsia="zh-CN"/>
                    </w:rPr>
                    <w:t>项目不涉及新增VOCs排放。</w:t>
                  </w:r>
                </w:p>
              </w:tc>
              <w:tc>
                <w:tcPr>
                  <w:tcW w:w="495" w:type="pct"/>
                  <w:noWrap w:val="0"/>
                  <w:vAlign w:val="center"/>
                </w:tcPr>
                <w:p w14:paraId="60E8F635">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textAlignment w:val="baseline"/>
                    <w:rPr>
                      <w:rFonts w:hint="eastAsia"/>
                      <w:color w:val="auto"/>
                      <w:lang w:eastAsia="zh-CN"/>
                    </w:rPr>
                  </w:pPr>
                  <w:r>
                    <w:rPr>
                      <w:rFonts w:hint="eastAsia"/>
                      <w:color w:val="auto"/>
                      <w:lang w:val="en-US" w:eastAsia="zh-CN"/>
                    </w:rPr>
                    <w:t>符合</w:t>
                  </w:r>
                </w:p>
              </w:tc>
            </w:tr>
            <w:tr w14:paraId="5BCB8C6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7" w:type="pct"/>
                  <w:vMerge w:val="continue"/>
                  <w:tcBorders>
                    <w:right w:val="single" w:color="auto" w:sz="4" w:space="0"/>
                  </w:tcBorders>
                  <w:noWrap w:val="0"/>
                  <w:vAlign w:val="center"/>
                </w:tcPr>
                <w:p w14:paraId="2FA511BE">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default"/>
                      <w:color w:val="auto"/>
                      <w:lang w:val="en-US" w:eastAsia="zh-CN"/>
                    </w:rPr>
                  </w:pPr>
                </w:p>
              </w:tc>
              <w:tc>
                <w:tcPr>
                  <w:tcW w:w="387" w:type="pct"/>
                  <w:tcBorders>
                    <w:right w:val="single" w:color="auto" w:sz="4" w:space="0"/>
                  </w:tcBorders>
                  <w:noWrap w:val="0"/>
                  <w:vAlign w:val="center"/>
                </w:tcPr>
                <w:p w14:paraId="6265929F">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42" w:leftChars="-20" w:right="-42" w:rightChars="-20" w:firstLine="0" w:firstLineChars="0"/>
                    <w:jc w:val="center"/>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资源开发效率要求</w:t>
                  </w:r>
                </w:p>
              </w:tc>
              <w:tc>
                <w:tcPr>
                  <w:tcW w:w="2902" w:type="pct"/>
                  <w:tcBorders>
                    <w:left w:val="single" w:color="auto" w:sz="4" w:space="0"/>
                  </w:tcBorders>
                  <w:noWrap w:val="0"/>
                  <w:vAlign w:val="center"/>
                </w:tcPr>
                <w:p w14:paraId="79BCE86E">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42" w:leftChars="-20" w:right="-42" w:rightChars="-20" w:firstLine="420" w:firstLineChars="200"/>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到2024年底，全市范围内每小时10蒸吨及以下燃煤锅炉全面淘汰；到2025年底，全市范围内每小时35蒸吨以下燃煤锅炉通过集中供热、清洁能源替代、深度治理等方式全面实现转型、升级、退出，县级及以上城市建成区在用锅炉（燃煤、燃油、燃生物质）全面改用电能等清洁能源或治理达到超低排放水平；不再新建每小时35蒸吨以下锅炉（燃煤、燃油、燃生物质），集中供热管网覆盖范围内禁止新建、扩建分散燃煤、燃油等供热锅炉。</w:t>
                  </w:r>
                </w:p>
                <w:p w14:paraId="0063D0F0">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42" w:leftChars="-20" w:right="-42" w:rightChars="-20" w:firstLine="420"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2.按照</w:t>
                  </w:r>
                  <w:r>
                    <w:rPr>
                      <w:rFonts w:hint="eastAsia" w:ascii="宋体" w:hAnsi="宋体" w:eastAsia="宋体" w:cs="宋体"/>
                      <w:color w:val="auto"/>
                      <w:szCs w:val="21"/>
                    </w:rPr>
                    <w:t>“提气、转电、控煤”</w:t>
                  </w:r>
                  <w:r>
                    <w:rPr>
                      <w:rFonts w:hint="default" w:ascii="Times New Roman" w:hAnsi="Times New Roman" w:eastAsia="宋体" w:cs="Times New Roman"/>
                      <w:color w:val="auto"/>
                      <w:szCs w:val="21"/>
                    </w:rPr>
                    <w:t>的发展思路，推动陶瓷行业进一步优化用能结构，实现能源消费清洁低碳化。</w:t>
                  </w:r>
                </w:p>
              </w:tc>
              <w:tc>
                <w:tcPr>
                  <w:tcW w:w="967" w:type="pct"/>
                  <w:noWrap w:val="0"/>
                  <w:vAlign w:val="center"/>
                </w:tcPr>
                <w:p w14:paraId="55BA6D5F">
                  <w:pPr>
                    <w:keepNext w:val="0"/>
                    <w:keepLines w:val="0"/>
                    <w:pageBreakBefore w:val="0"/>
                    <w:widowControl/>
                    <w:suppressLineNumbers w:val="0"/>
                    <w:kinsoku/>
                    <w:wordWrap/>
                    <w:topLinePunct w:val="0"/>
                    <w:autoSpaceDE/>
                    <w:autoSpaceDN/>
                    <w:bidi w:val="0"/>
                    <w:spacing w:before="0" w:beforeAutospacing="0" w:after="0" w:afterAutospacing="0" w:line="240" w:lineRule="auto"/>
                    <w:ind w:left="-63" w:leftChars="-30" w:right="-63" w:rightChars="-30"/>
                    <w:jc w:val="center"/>
                    <w:rPr>
                      <w:rFonts w:hint="eastAsia"/>
                      <w:color w:val="auto"/>
                      <w:lang w:val="en-US" w:eastAsia="zh-CN"/>
                    </w:rPr>
                  </w:pPr>
                  <w:r>
                    <w:rPr>
                      <w:rFonts w:hint="eastAsia"/>
                      <w:color w:val="auto"/>
                      <w:lang w:val="en-US" w:eastAsia="zh-CN"/>
                    </w:rPr>
                    <w:t>本项目不涉及锅炉，不使用天然气和煤。</w:t>
                  </w:r>
                </w:p>
              </w:tc>
              <w:tc>
                <w:tcPr>
                  <w:tcW w:w="495" w:type="pct"/>
                  <w:noWrap w:val="0"/>
                  <w:vAlign w:val="center"/>
                </w:tcPr>
                <w:p w14:paraId="5E782D53">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textAlignment w:val="baseline"/>
                    <w:rPr>
                      <w:rFonts w:hint="eastAsia"/>
                      <w:color w:val="auto"/>
                      <w:lang w:val="en-US" w:eastAsia="zh-CN"/>
                    </w:rPr>
                  </w:pPr>
                  <w:r>
                    <w:rPr>
                      <w:rFonts w:hint="eastAsia"/>
                      <w:color w:val="auto"/>
                      <w:lang w:val="en-US" w:eastAsia="zh-CN"/>
                    </w:rPr>
                    <w:t>符合</w:t>
                  </w:r>
                </w:p>
              </w:tc>
            </w:tr>
            <w:tr w14:paraId="3E5E81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7" w:type="pct"/>
                  <w:vMerge w:val="restart"/>
                  <w:tcBorders>
                    <w:right w:val="single" w:color="auto" w:sz="4" w:space="0"/>
                  </w:tcBorders>
                  <w:noWrap w:val="0"/>
                  <w:vAlign w:val="center"/>
                </w:tcPr>
                <w:p w14:paraId="465D5C71">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jc w:val="center"/>
                    <w:textAlignment w:val="baseline"/>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惠安县重点管控单元5</w:t>
                  </w:r>
                </w:p>
              </w:tc>
              <w:tc>
                <w:tcPr>
                  <w:tcW w:w="387" w:type="pct"/>
                  <w:tcBorders>
                    <w:right w:val="single" w:color="auto" w:sz="4" w:space="0"/>
                  </w:tcBorders>
                  <w:noWrap w:val="0"/>
                  <w:vAlign w:val="center"/>
                </w:tcPr>
                <w:p w14:paraId="6516A2C8">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jc w:val="center"/>
                    <w:textAlignment w:val="baseline"/>
                    <w:rPr>
                      <w:rFonts w:hint="eastAsia" w:ascii="Times New Roman" w:hAnsi="Times New Roman" w:eastAsia="宋体" w:cs="Times New Roman"/>
                      <w:color w:val="auto"/>
                      <w:kern w:val="2"/>
                      <w:sz w:val="21"/>
                      <w:szCs w:val="20"/>
                      <w:lang w:val="en-US" w:eastAsia="zh-CN" w:bidi="ar-SA"/>
                    </w:rPr>
                  </w:pPr>
                  <w:r>
                    <w:rPr>
                      <w:rFonts w:hint="eastAsia"/>
                      <w:color w:val="auto"/>
                      <w:lang w:val="en-US" w:eastAsia="zh-CN"/>
                    </w:rPr>
                    <w:t>空间布局约束</w:t>
                  </w:r>
                </w:p>
              </w:tc>
              <w:tc>
                <w:tcPr>
                  <w:tcW w:w="2902" w:type="pct"/>
                  <w:tcBorders>
                    <w:left w:val="single" w:color="auto" w:sz="4" w:space="0"/>
                  </w:tcBorders>
                  <w:noWrap w:val="0"/>
                  <w:vAlign w:val="center"/>
                </w:tcPr>
                <w:p w14:paraId="11A187FF">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1.严禁在城镇人口密集区新建危险化学品生产企业；现有不符合安全和卫生防护距离要求的危险化学品生产企业2025年底前完成就地改造达标、搬迁进入规范化工园区或关闭退出。</w:t>
                  </w:r>
                </w:p>
                <w:p w14:paraId="7F3E6E2F">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2.新建高VOCs排放的项目必须进入工业园区。</w:t>
                  </w:r>
                </w:p>
              </w:tc>
              <w:tc>
                <w:tcPr>
                  <w:tcW w:w="967" w:type="pct"/>
                  <w:noWrap w:val="0"/>
                  <w:vAlign w:val="center"/>
                </w:tcPr>
                <w:p w14:paraId="4E9C3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1.项目不属于危险化学品生产企业。</w:t>
                  </w:r>
                </w:p>
                <w:p w14:paraId="4EEAE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2.项目不涉及VOCs排放。</w:t>
                  </w:r>
                </w:p>
              </w:tc>
              <w:tc>
                <w:tcPr>
                  <w:tcW w:w="495" w:type="pct"/>
                  <w:noWrap w:val="0"/>
                  <w:vAlign w:val="center"/>
                </w:tcPr>
                <w:p w14:paraId="6BAAC474">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eastAsia" w:ascii="Times New Roman" w:hAnsi="Times New Roman" w:eastAsia="宋体" w:cs="Times New Roman"/>
                      <w:color w:val="auto"/>
                      <w:kern w:val="2"/>
                      <w:sz w:val="21"/>
                      <w:szCs w:val="20"/>
                      <w:lang w:val="en-US" w:eastAsia="zh-CN" w:bidi="ar-SA"/>
                    </w:rPr>
                  </w:pPr>
                  <w:r>
                    <w:rPr>
                      <w:rFonts w:hint="eastAsia"/>
                      <w:color w:val="auto"/>
                      <w:lang w:val="en-US" w:eastAsia="zh-CN"/>
                    </w:rPr>
                    <w:t>符合</w:t>
                  </w:r>
                </w:p>
              </w:tc>
            </w:tr>
            <w:tr w14:paraId="30ED8B7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7" w:type="pct"/>
                  <w:vMerge w:val="continue"/>
                  <w:tcBorders>
                    <w:right w:val="single" w:color="auto" w:sz="4" w:space="0"/>
                  </w:tcBorders>
                  <w:noWrap w:val="0"/>
                  <w:vAlign w:val="top"/>
                </w:tcPr>
                <w:p w14:paraId="78E9550E">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eastAsia"/>
                      <w:color w:val="auto"/>
                    </w:rPr>
                  </w:pPr>
                </w:p>
              </w:tc>
              <w:tc>
                <w:tcPr>
                  <w:tcW w:w="387" w:type="pct"/>
                  <w:noWrap w:val="0"/>
                  <w:vAlign w:val="center"/>
                </w:tcPr>
                <w:p w14:paraId="24AB1A0C">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eastAsia" w:ascii="Times New Roman" w:hAnsi="Times New Roman" w:eastAsia="宋体" w:cs="Times New Roman"/>
                      <w:color w:val="auto"/>
                      <w:kern w:val="2"/>
                      <w:sz w:val="21"/>
                      <w:szCs w:val="20"/>
                      <w:lang w:val="en-US" w:eastAsia="zh-CN" w:bidi="ar-SA"/>
                    </w:rPr>
                  </w:pPr>
                  <w:r>
                    <w:rPr>
                      <w:rFonts w:hint="default"/>
                      <w:color w:val="auto"/>
                      <w:lang w:val="en-US" w:eastAsia="zh-CN"/>
                    </w:rPr>
                    <w:t>污染物排放管控</w:t>
                  </w:r>
                </w:p>
              </w:tc>
              <w:tc>
                <w:tcPr>
                  <w:tcW w:w="2902" w:type="pct"/>
                  <w:noWrap w:val="0"/>
                  <w:vAlign w:val="center"/>
                </w:tcPr>
                <w:p w14:paraId="60DEFC59">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1.在城市建成区新建大气污染型项目，应落实区域二氧化硫、氮氧化物排放量控制要求。</w:t>
                  </w:r>
                </w:p>
                <w:p w14:paraId="7D2E05CD">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2.加快单元内污水管网的建设工程，确保工业企业的所有废(污)水都纳管集中处理，鼓励企业中水回用。</w:t>
                  </w:r>
                </w:p>
              </w:tc>
              <w:tc>
                <w:tcPr>
                  <w:tcW w:w="967" w:type="pct"/>
                  <w:noWrap w:val="0"/>
                  <w:vAlign w:val="center"/>
                </w:tcPr>
                <w:p w14:paraId="03BF9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1.项目不涉及二氧化硫、氮氧化物排放；</w:t>
                  </w:r>
                </w:p>
                <w:p w14:paraId="2FAB1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2.项目</w:t>
                  </w:r>
                  <w:r>
                    <w:rPr>
                      <w:rFonts w:hint="eastAsia" w:cs="Times New Roman"/>
                      <w:color w:val="auto"/>
                      <w:kern w:val="2"/>
                      <w:sz w:val="21"/>
                      <w:szCs w:val="24"/>
                      <w:lang w:val="en-US" w:eastAsia="zh-CN" w:bidi="ar-SA"/>
                    </w:rPr>
                    <w:t>生活污水达标后</w:t>
                  </w:r>
                  <w:r>
                    <w:rPr>
                      <w:rFonts w:hint="default" w:ascii="Times New Roman" w:hAnsi="Times New Roman" w:eastAsia="宋体" w:cs="Times New Roman"/>
                      <w:color w:val="auto"/>
                      <w:kern w:val="2"/>
                      <w:sz w:val="21"/>
                      <w:szCs w:val="24"/>
                      <w:lang w:val="en-US" w:eastAsia="zh-CN" w:bidi="ar-SA"/>
                    </w:rPr>
                    <w:t>通过市政污水管网纳入惠西污水处理厂处理。</w:t>
                  </w:r>
                </w:p>
              </w:tc>
              <w:tc>
                <w:tcPr>
                  <w:tcW w:w="495" w:type="pct"/>
                  <w:noWrap w:val="0"/>
                  <w:vAlign w:val="center"/>
                </w:tcPr>
                <w:p w14:paraId="6CFF483A">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eastAsia" w:ascii="Times New Roman" w:hAnsi="Times New Roman" w:eastAsia="宋体" w:cs="Times New Roman"/>
                      <w:color w:val="auto"/>
                      <w:kern w:val="2"/>
                      <w:sz w:val="21"/>
                      <w:szCs w:val="20"/>
                      <w:lang w:val="en-US" w:eastAsia="zh-CN" w:bidi="ar-SA"/>
                    </w:rPr>
                  </w:pPr>
                  <w:r>
                    <w:rPr>
                      <w:rFonts w:hint="eastAsia"/>
                      <w:color w:val="auto"/>
                      <w:lang w:val="en-US" w:eastAsia="zh-CN"/>
                    </w:rPr>
                    <w:t>符合</w:t>
                  </w:r>
                </w:p>
              </w:tc>
            </w:tr>
            <w:tr w14:paraId="0956B08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7" w:type="pct"/>
                  <w:vMerge w:val="continue"/>
                  <w:tcBorders>
                    <w:right w:val="single" w:color="auto" w:sz="4" w:space="0"/>
                  </w:tcBorders>
                  <w:noWrap w:val="0"/>
                  <w:vAlign w:val="top"/>
                </w:tcPr>
                <w:p w14:paraId="3E731C8E">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eastAsia"/>
                      <w:color w:val="auto"/>
                    </w:rPr>
                  </w:pPr>
                </w:p>
              </w:tc>
              <w:tc>
                <w:tcPr>
                  <w:tcW w:w="387" w:type="pct"/>
                  <w:noWrap w:val="0"/>
                  <w:vAlign w:val="center"/>
                </w:tcPr>
                <w:p w14:paraId="2D202EC5">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eastAsia" w:ascii="Times New Roman" w:hAnsi="Times New Roman" w:eastAsia="宋体" w:cs="Times New Roman"/>
                      <w:color w:val="auto"/>
                      <w:kern w:val="2"/>
                      <w:sz w:val="21"/>
                      <w:szCs w:val="20"/>
                      <w:lang w:val="en-US" w:eastAsia="zh-CN" w:bidi="ar-SA"/>
                    </w:rPr>
                  </w:pPr>
                  <w:r>
                    <w:rPr>
                      <w:rFonts w:hint="default"/>
                      <w:color w:val="auto"/>
                      <w:lang w:val="en-US" w:eastAsia="zh-CN"/>
                    </w:rPr>
                    <w:t>资源开发效率要求</w:t>
                  </w:r>
                </w:p>
              </w:tc>
              <w:tc>
                <w:tcPr>
                  <w:tcW w:w="2902" w:type="pct"/>
                  <w:noWrap w:val="0"/>
                  <w:vAlign w:val="center"/>
                </w:tcPr>
                <w:p w14:paraId="66F020E2">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高污染燃料禁燃区内，禁止使用高污染燃料，禁止新建、改建、扩建燃用高污染燃料的设施。</w:t>
                  </w:r>
                </w:p>
              </w:tc>
              <w:tc>
                <w:tcPr>
                  <w:tcW w:w="967" w:type="pct"/>
                  <w:noWrap w:val="0"/>
                  <w:vAlign w:val="center"/>
                </w:tcPr>
                <w:p w14:paraId="73CEB4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项目不使用高污染燃料</w:t>
                  </w:r>
                  <w:r>
                    <w:rPr>
                      <w:rFonts w:hint="eastAsia" w:cs="Times New Roman"/>
                      <w:color w:val="auto"/>
                      <w:kern w:val="2"/>
                      <w:sz w:val="21"/>
                      <w:szCs w:val="24"/>
                      <w:lang w:val="en-US" w:eastAsia="zh-CN" w:bidi="ar-SA"/>
                    </w:rPr>
                    <w:t>，未建设</w:t>
                  </w:r>
                  <w:r>
                    <w:rPr>
                      <w:rFonts w:hint="default" w:ascii="Times New Roman" w:hAnsi="Times New Roman" w:eastAsia="宋体" w:cs="Times New Roman"/>
                      <w:color w:val="auto"/>
                      <w:kern w:val="2"/>
                      <w:sz w:val="21"/>
                      <w:szCs w:val="24"/>
                      <w:lang w:val="en-US" w:eastAsia="zh-CN" w:bidi="ar-SA"/>
                    </w:rPr>
                    <w:t>高污染燃料的设施。</w:t>
                  </w:r>
                </w:p>
              </w:tc>
              <w:tc>
                <w:tcPr>
                  <w:tcW w:w="495" w:type="pct"/>
                  <w:noWrap w:val="0"/>
                  <w:vAlign w:val="center"/>
                </w:tcPr>
                <w:p w14:paraId="5A417B20">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符合</w:t>
                  </w:r>
                </w:p>
              </w:tc>
            </w:tr>
            <w:tr w14:paraId="5190D41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7" w:type="pct"/>
                  <w:vMerge w:val="restart"/>
                  <w:tcBorders>
                    <w:right w:val="single" w:color="auto" w:sz="4" w:space="0"/>
                  </w:tcBorders>
                  <w:noWrap w:val="0"/>
                  <w:vAlign w:val="center"/>
                </w:tcPr>
                <w:p w14:paraId="71223D5D">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eastAsia"/>
                      <w:color w:val="auto"/>
                    </w:rPr>
                  </w:pPr>
                  <w:r>
                    <w:rPr>
                      <w:rFonts w:hint="eastAsia" w:ascii="Times New Roman" w:hAnsi="Times New Roman" w:eastAsia="宋体" w:cs="Times New Roman"/>
                      <w:color w:val="auto"/>
                      <w:kern w:val="2"/>
                      <w:sz w:val="21"/>
                      <w:szCs w:val="20"/>
                      <w:lang w:val="en-US" w:eastAsia="zh-CN" w:bidi="ar-SA"/>
                    </w:rPr>
                    <w:t>惠安县重点管控单元2</w:t>
                  </w:r>
                </w:p>
              </w:tc>
              <w:tc>
                <w:tcPr>
                  <w:tcW w:w="387" w:type="pct"/>
                  <w:noWrap w:val="0"/>
                  <w:vAlign w:val="center"/>
                </w:tcPr>
                <w:p w14:paraId="33881163">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jc w:val="center"/>
                    <w:textAlignment w:val="baseline"/>
                    <w:rPr>
                      <w:rFonts w:hint="default" w:ascii="Times New Roman" w:hAnsi="Times New Roman" w:eastAsia="宋体" w:cs="Times New Roman"/>
                      <w:color w:val="auto"/>
                      <w:kern w:val="2"/>
                      <w:sz w:val="21"/>
                      <w:szCs w:val="20"/>
                      <w:lang w:val="en-US" w:eastAsia="zh-CN" w:bidi="ar-SA"/>
                    </w:rPr>
                  </w:pPr>
                  <w:r>
                    <w:rPr>
                      <w:rFonts w:hint="eastAsia"/>
                      <w:color w:val="auto"/>
                      <w:lang w:val="en-US" w:eastAsia="zh-CN"/>
                    </w:rPr>
                    <w:t>空间布局约束</w:t>
                  </w:r>
                </w:p>
              </w:tc>
              <w:tc>
                <w:tcPr>
                  <w:tcW w:w="2902" w:type="pct"/>
                  <w:noWrap w:val="0"/>
                  <w:vAlign w:val="center"/>
                </w:tcPr>
                <w:p w14:paraId="67253D11">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1.严禁在城镇人口密集区新建危险化学品生产企业；现有不符合安全和卫生防护距离要求的危险化学品生产企业2025年底前完成就地改造达标、搬迁进入规范化工园区或关闭退出</w:t>
                  </w:r>
                  <w:r>
                    <w:rPr>
                      <w:rFonts w:hint="eastAsia" w:cs="Times New Roman"/>
                      <w:color w:val="auto"/>
                      <w:kern w:val="2"/>
                      <w:sz w:val="21"/>
                      <w:szCs w:val="24"/>
                      <w:lang w:val="en-US" w:eastAsia="zh-CN" w:bidi="ar-SA"/>
                    </w:rPr>
                    <w:t>。</w:t>
                  </w:r>
                </w:p>
                <w:p w14:paraId="77F1F707">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2.新建高VOCs排放的项目必须进入工业园区。</w:t>
                  </w:r>
                </w:p>
              </w:tc>
              <w:tc>
                <w:tcPr>
                  <w:tcW w:w="967" w:type="pct"/>
                  <w:noWrap w:val="0"/>
                  <w:vAlign w:val="center"/>
                </w:tcPr>
                <w:p w14:paraId="713FB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1.项目不属于危险化学品生产企业。</w:t>
                  </w:r>
                </w:p>
                <w:p w14:paraId="62641DA7">
                  <w:pPr>
                    <w:keepNext w:val="0"/>
                    <w:keepLines w:val="0"/>
                    <w:pageBreakBefore w:val="0"/>
                    <w:widowControl/>
                    <w:suppressLineNumbers w:val="0"/>
                    <w:kinsoku/>
                    <w:wordWrap/>
                    <w:topLinePunct w:val="0"/>
                    <w:autoSpaceDE/>
                    <w:autoSpaceDN/>
                    <w:bidi w:val="0"/>
                    <w:spacing w:before="0" w:beforeAutospacing="0" w:after="0" w:afterAutospacing="0" w:line="240" w:lineRule="auto"/>
                    <w:ind w:left="-63" w:leftChars="-30" w:right="-63" w:rightChars="-30" w:firstLine="0" w:firstLine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2.项目不涉及VOCs排放。</w:t>
                  </w:r>
                </w:p>
              </w:tc>
              <w:tc>
                <w:tcPr>
                  <w:tcW w:w="495" w:type="pct"/>
                  <w:noWrap w:val="0"/>
                  <w:vAlign w:val="center"/>
                </w:tcPr>
                <w:p w14:paraId="69CE2AE0">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eastAsia"/>
                      <w:color w:val="auto"/>
                      <w:lang w:val="en-US" w:eastAsia="zh-CN"/>
                    </w:rPr>
                  </w:pPr>
                  <w:r>
                    <w:rPr>
                      <w:rFonts w:hint="eastAsia"/>
                      <w:color w:val="auto"/>
                      <w:lang w:val="en-US" w:eastAsia="zh-CN"/>
                    </w:rPr>
                    <w:t>符合</w:t>
                  </w:r>
                </w:p>
              </w:tc>
            </w:tr>
            <w:tr w14:paraId="393F95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7" w:type="pct"/>
                  <w:vMerge w:val="continue"/>
                  <w:tcBorders>
                    <w:right w:val="single" w:color="auto" w:sz="4" w:space="0"/>
                  </w:tcBorders>
                  <w:noWrap w:val="0"/>
                  <w:vAlign w:val="top"/>
                </w:tcPr>
                <w:p w14:paraId="69A9E390">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eastAsia" w:ascii="Times New Roman" w:hAnsi="Times New Roman" w:eastAsia="宋体" w:cs="Times New Roman"/>
                      <w:color w:val="auto"/>
                      <w:kern w:val="2"/>
                      <w:sz w:val="21"/>
                      <w:szCs w:val="20"/>
                      <w:lang w:val="en-US" w:eastAsia="zh-CN" w:bidi="ar-SA"/>
                    </w:rPr>
                  </w:pPr>
                </w:p>
              </w:tc>
              <w:tc>
                <w:tcPr>
                  <w:tcW w:w="387" w:type="pct"/>
                  <w:noWrap w:val="0"/>
                  <w:vAlign w:val="center"/>
                </w:tcPr>
                <w:p w14:paraId="03419308">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default" w:ascii="Times New Roman" w:hAnsi="Times New Roman" w:eastAsia="宋体" w:cs="Times New Roman"/>
                      <w:color w:val="auto"/>
                      <w:kern w:val="2"/>
                      <w:sz w:val="21"/>
                      <w:szCs w:val="20"/>
                      <w:lang w:val="en-US" w:eastAsia="zh-CN" w:bidi="ar-SA"/>
                    </w:rPr>
                  </w:pPr>
                  <w:r>
                    <w:rPr>
                      <w:rFonts w:hint="default"/>
                      <w:color w:val="auto"/>
                      <w:lang w:val="en-US" w:eastAsia="zh-CN"/>
                    </w:rPr>
                    <w:t>污染物排放管控</w:t>
                  </w:r>
                </w:p>
              </w:tc>
              <w:tc>
                <w:tcPr>
                  <w:tcW w:w="2902" w:type="pct"/>
                  <w:noWrap w:val="0"/>
                  <w:vAlign w:val="center"/>
                </w:tcPr>
                <w:p w14:paraId="3DB4DA01">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1.在城市建成区新建大气污染型项目，应落实区域二氧化硫、氮氧化物排放量控制要求。</w:t>
                  </w:r>
                </w:p>
                <w:p w14:paraId="6A08B864">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2.加快单元内污水管网的建设工程，确保工业企业的所有废(污)水都纳管集中处理，鼓励企业中水回用。</w:t>
                  </w:r>
                </w:p>
              </w:tc>
              <w:tc>
                <w:tcPr>
                  <w:tcW w:w="967" w:type="pct"/>
                  <w:noWrap w:val="0"/>
                  <w:vAlign w:val="center"/>
                </w:tcPr>
                <w:p w14:paraId="67C88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1.项目不涉及二氧化硫、氮氧化物排放；</w:t>
                  </w:r>
                </w:p>
                <w:p w14:paraId="7FC26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2.项目</w:t>
                  </w:r>
                  <w:r>
                    <w:rPr>
                      <w:rFonts w:hint="eastAsia" w:cs="Times New Roman"/>
                      <w:color w:val="auto"/>
                      <w:kern w:val="2"/>
                      <w:sz w:val="21"/>
                      <w:szCs w:val="24"/>
                      <w:lang w:val="en-US" w:eastAsia="zh-CN" w:bidi="ar-SA"/>
                    </w:rPr>
                    <w:t>生活污水达标后</w:t>
                  </w:r>
                  <w:r>
                    <w:rPr>
                      <w:rFonts w:hint="default" w:ascii="Times New Roman" w:hAnsi="Times New Roman" w:eastAsia="宋体" w:cs="Times New Roman"/>
                      <w:color w:val="auto"/>
                      <w:kern w:val="2"/>
                      <w:sz w:val="21"/>
                      <w:szCs w:val="24"/>
                      <w:lang w:val="en-US" w:eastAsia="zh-CN" w:bidi="ar-SA"/>
                    </w:rPr>
                    <w:t>通过市政污水管网纳入惠西污水处理厂处理。</w:t>
                  </w:r>
                </w:p>
              </w:tc>
              <w:tc>
                <w:tcPr>
                  <w:tcW w:w="495" w:type="pct"/>
                  <w:noWrap w:val="0"/>
                  <w:vAlign w:val="center"/>
                </w:tcPr>
                <w:p w14:paraId="279B7E91">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eastAsia"/>
                      <w:color w:val="auto"/>
                      <w:lang w:val="en-US" w:eastAsia="zh-CN"/>
                    </w:rPr>
                  </w:pPr>
                  <w:r>
                    <w:rPr>
                      <w:rFonts w:hint="eastAsia"/>
                      <w:color w:val="auto"/>
                      <w:lang w:val="en-US" w:eastAsia="zh-CN"/>
                    </w:rPr>
                    <w:t>符合</w:t>
                  </w:r>
                </w:p>
              </w:tc>
            </w:tr>
            <w:tr w14:paraId="5DF7544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7" w:type="pct"/>
                  <w:vMerge w:val="continue"/>
                  <w:tcBorders>
                    <w:right w:val="single" w:color="auto" w:sz="4" w:space="0"/>
                  </w:tcBorders>
                  <w:noWrap w:val="0"/>
                  <w:vAlign w:val="top"/>
                </w:tcPr>
                <w:p w14:paraId="5C5B2EE8">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eastAsia" w:ascii="Times New Roman" w:hAnsi="Times New Roman" w:eastAsia="宋体" w:cs="Times New Roman"/>
                      <w:color w:val="auto"/>
                      <w:kern w:val="2"/>
                      <w:sz w:val="21"/>
                      <w:szCs w:val="20"/>
                      <w:lang w:val="en-US" w:eastAsia="zh-CN" w:bidi="ar-SA"/>
                    </w:rPr>
                  </w:pPr>
                </w:p>
              </w:tc>
              <w:tc>
                <w:tcPr>
                  <w:tcW w:w="387" w:type="pct"/>
                  <w:noWrap w:val="0"/>
                  <w:vAlign w:val="center"/>
                </w:tcPr>
                <w:p w14:paraId="55DB76A1">
                  <w:pPr>
                    <w:pStyle w:val="25"/>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0" w:firstLineChars="0"/>
                    <w:textAlignment w:val="baseline"/>
                    <w:rPr>
                      <w:rFonts w:hint="default"/>
                      <w:color w:val="auto"/>
                      <w:lang w:val="en-US" w:eastAsia="zh-CN"/>
                    </w:rPr>
                  </w:pPr>
                  <w:r>
                    <w:rPr>
                      <w:rFonts w:hint="default"/>
                      <w:color w:val="auto"/>
                      <w:lang w:val="en-US" w:eastAsia="zh-CN"/>
                    </w:rPr>
                    <w:t>资源开发效率要求</w:t>
                  </w:r>
                </w:p>
              </w:tc>
              <w:tc>
                <w:tcPr>
                  <w:tcW w:w="2902" w:type="pct"/>
                  <w:noWrap w:val="0"/>
                  <w:vAlign w:val="center"/>
                </w:tcPr>
                <w:p w14:paraId="40C73891">
                  <w:pPr>
                    <w:pStyle w:val="25"/>
                    <w:keepNext w:val="0"/>
                    <w:keepLines w:val="0"/>
                    <w:pageBreakBefore w:val="0"/>
                    <w:widowControl/>
                    <w:numPr>
                      <w:ilvl w:val="0"/>
                      <w:numId w:val="0"/>
                    </w:numPr>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firstLine="420" w:firstLineChars="20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高污染燃料禁燃区内，禁止使用高污染燃料，禁止新建、改建、扩建燃用高污染燃料的设施。</w:t>
                  </w:r>
                </w:p>
              </w:tc>
              <w:tc>
                <w:tcPr>
                  <w:tcW w:w="967" w:type="pct"/>
                  <w:noWrap w:val="0"/>
                  <w:vAlign w:val="center"/>
                </w:tcPr>
                <w:p w14:paraId="03E895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项目不使用高污染燃料</w:t>
                  </w:r>
                  <w:r>
                    <w:rPr>
                      <w:rFonts w:hint="eastAsia" w:cs="Times New Roman"/>
                      <w:color w:val="auto"/>
                      <w:kern w:val="2"/>
                      <w:sz w:val="21"/>
                      <w:szCs w:val="24"/>
                      <w:lang w:val="en-US" w:eastAsia="zh-CN" w:bidi="ar-SA"/>
                    </w:rPr>
                    <w:t>，未建设</w:t>
                  </w:r>
                  <w:r>
                    <w:rPr>
                      <w:rFonts w:hint="default" w:ascii="Times New Roman" w:hAnsi="Times New Roman" w:eastAsia="宋体" w:cs="Times New Roman"/>
                      <w:color w:val="auto"/>
                      <w:kern w:val="2"/>
                      <w:sz w:val="21"/>
                      <w:szCs w:val="24"/>
                      <w:lang w:val="en-US" w:eastAsia="zh-CN" w:bidi="ar-SA"/>
                    </w:rPr>
                    <w:t>高污染燃料的设施。</w:t>
                  </w:r>
                </w:p>
              </w:tc>
              <w:tc>
                <w:tcPr>
                  <w:tcW w:w="495" w:type="pct"/>
                  <w:noWrap w:val="0"/>
                  <w:vAlign w:val="center"/>
                </w:tcPr>
                <w:p w14:paraId="2F4EAD23">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0" w:afterAutospacing="0" w:line="240" w:lineRule="auto"/>
                    <w:ind w:left="-42" w:leftChars="-20" w:right="-42" w:rightChars="-20"/>
                    <w:jc w:val="center"/>
                    <w:textAlignment w:val="baseline"/>
                    <w:rPr>
                      <w:rFonts w:hint="eastAsia"/>
                      <w:color w:val="auto"/>
                      <w:lang w:val="en-US" w:eastAsia="zh-CN"/>
                    </w:rPr>
                  </w:pPr>
                  <w:r>
                    <w:rPr>
                      <w:rFonts w:hint="eastAsia"/>
                      <w:color w:val="auto"/>
                      <w:lang w:val="en-US" w:eastAsia="zh-CN"/>
                    </w:rPr>
                    <w:t>符合</w:t>
                  </w:r>
                </w:p>
              </w:tc>
            </w:tr>
          </w:tbl>
          <w:p w14:paraId="09628F88">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ind w:right="0"/>
              <w:jc w:val="left"/>
              <w:textAlignment w:val="auto"/>
              <w:rPr>
                <w:rFonts w:hint="default"/>
                <w:color w:val="auto"/>
                <w:sz w:val="21"/>
                <w:szCs w:val="21"/>
                <w:lang w:val="en-US" w:eastAsia="zh-CN"/>
              </w:rPr>
            </w:pPr>
          </w:p>
        </w:tc>
      </w:tr>
    </w:tbl>
    <w:p w14:paraId="0D9B6C00">
      <w:pPr>
        <w:spacing w:line="360" w:lineRule="auto"/>
        <w:outlineLvl w:val="0"/>
        <w:rPr>
          <w:rFonts w:eastAsia="黑体"/>
          <w:color w:val="000000"/>
          <w:sz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44042773">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二、建设项目工程分析</w:t>
      </w:r>
    </w:p>
    <w:tbl>
      <w:tblPr>
        <w:tblStyle w:val="20"/>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326"/>
      </w:tblGrid>
      <w:tr w14:paraId="231CA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34" w:type="dxa"/>
            <w:noWrap w:val="0"/>
            <w:vAlign w:val="center"/>
          </w:tcPr>
          <w:p w14:paraId="06B2A211">
            <w:pPr>
              <w:pStyle w:val="18"/>
              <w:keepNext w:val="0"/>
              <w:keepLines w:val="0"/>
              <w:suppressLineNumbers w:val="0"/>
              <w:adjustRightInd w:val="0"/>
              <w:snapToGrid w:val="0"/>
              <w:spacing w:before="0" w:beforeAutospacing="0" w:after="0" w:afterAutospacing="0"/>
              <w:ind w:left="0" w:right="0"/>
              <w:jc w:val="center"/>
              <w:rPr>
                <w:rFonts w:hint="default" w:cs="宋体"/>
                <w:color w:val="000000"/>
                <w:sz w:val="21"/>
                <w:szCs w:val="21"/>
              </w:rPr>
            </w:pPr>
            <w:r>
              <w:rPr>
                <w:rFonts w:hint="eastAsia" w:cs="宋体"/>
                <w:color w:val="000000"/>
                <w:sz w:val="21"/>
                <w:szCs w:val="21"/>
              </w:rPr>
              <w:t>建设内容</w:t>
            </w:r>
          </w:p>
        </w:tc>
        <w:tc>
          <w:tcPr>
            <w:tcW w:w="8326" w:type="dxa"/>
            <w:noWrap w:val="0"/>
            <w:vAlign w:val="top"/>
          </w:tcPr>
          <w:p w14:paraId="62973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宋体"/>
                <w:b/>
                <w:bCs/>
                <w:color w:val="000000"/>
                <w:sz w:val="24"/>
                <w:szCs w:val="24"/>
                <w:lang w:val="en-US" w:eastAsia="zh-CN"/>
              </w:rPr>
            </w:pPr>
            <w:r>
              <w:rPr>
                <w:rFonts w:hint="eastAsia" w:ascii="Times New Roman" w:hAnsi="Times New Roman" w:eastAsia="宋体" w:cs="宋体"/>
                <w:b/>
                <w:bCs/>
                <w:color w:val="000000"/>
                <w:sz w:val="24"/>
                <w:szCs w:val="24"/>
                <w:lang w:val="en-US" w:eastAsia="zh-CN"/>
              </w:rPr>
              <w:t>2.</w:t>
            </w:r>
            <w:r>
              <w:rPr>
                <w:rFonts w:hint="eastAsia" w:cs="宋体"/>
                <w:b/>
                <w:bCs/>
                <w:color w:val="000000"/>
                <w:sz w:val="24"/>
                <w:szCs w:val="24"/>
                <w:lang w:val="en-US" w:eastAsia="zh-CN"/>
              </w:rPr>
              <w:t>1</w:t>
            </w:r>
            <w:r>
              <w:rPr>
                <w:rFonts w:hint="eastAsia" w:ascii="Times New Roman" w:hAnsi="Times New Roman" w:eastAsia="宋体" w:cs="宋体"/>
                <w:b/>
                <w:bCs/>
                <w:color w:val="000000"/>
                <w:sz w:val="24"/>
                <w:szCs w:val="24"/>
                <w:lang w:val="en-US" w:eastAsia="zh-CN"/>
              </w:rPr>
              <w:t xml:space="preserve"> 项目</w:t>
            </w:r>
            <w:r>
              <w:rPr>
                <w:rFonts w:hint="eastAsia" w:cs="宋体"/>
                <w:b/>
                <w:bCs/>
                <w:color w:val="000000"/>
                <w:sz w:val="24"/>
                <w:szCs w:val="24"/>
                <w:lang w:val="en-US" w:eastAsia="zh-CN"/>
              </w:rPr>
              <w:t>由来</w:t>
            </w:r>
          </w:p>
          <w:p w14:paraId="0D271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宋体"/>
                <w:b/>
                <w:bCs/>
                <w:color w:val="000000"/>
                <w:sz w:val="21"/>
                <w:szCs w:val="21"/>
                <w:lang w:val="en-US" w:eastAsia="zh-CN"/>
              </w:rPr>
            </w:pPr>
            <w:r>
              <w:rPr>
                <w:rFonts w:hint="eastAsia" w:ascii="Times New Roman" w:hAnsi="Times New Roman" w:eastAsia="宋体" w:cs="宋体"/>
                <w:b w:val="0"/>
                <w:bCs w:val="0"/>
                <w:color w:val="000000"/>
                <w:sz w:val="21"/>
                <w:szCs w:val="21"/>
                <w:lang w:val="en-US" w:eastAsia="zh-CN"/>
              </w:rPr>
              <w:t>福建省泓瀚卫生用品有限公司</w:t>
            </w:r>
            <w:r>
              <w:rPr>
                <w:rFonts w:hint="eastAsia" w:cs="宋体"/>
                <w:b w:val="0"/>
                <w:bCs w:val="0"/>
                <w:color w:val="000000"/>
                <w:sz w:val="21"/>
                <w:szCs w:val="21"/>
                <w:lang w:val="en-US" w:eastAsia="zh-CN"/>
              </w:rPr>
              <w:t>在自有</w:t>
            </w:r>
            <w:r>
              <w:rPr>
                <w:rFonts w:hint="eastAsia" w:ascii="Times New Roman" w:hAnsi="Times New Roman" w:eastAsia="宋体" w:cs="宋体"/>
                <w:b w:val="0"/>
                <w:bCs w:val="0"/>
                <w:color w:val="000000"/>
                <w:sz w:val="21"/>
                <w:szCs w:val="21"/>
                <w:lang w:val="en-US" w:eastAsia="zh-CN"/>
              </w:rPr>
              <w:t>厂房进行经期裤、护垫、卫生巾生产项目，对照《建设项目环境影响评价分类管理名录》（环境保护部令第16号）（2021年版）结果如下：</w:t>
            </w:r>
          </w:p>
          <w:p w14:paraId="34F90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宋体"/>
                <w:b/>
                <w:color w:val="000000"/>
                <w:sz w:val="21"/>
                <w:szCs w:val="21"/>
                <w:lang w:val="en-US" w:eastAsia="zh-CN"/>
              </w:rPr>
            </w:pPr>
            <w:r>
              <w:rPr>
                <w:rFonts w:hint="eastAsia" w:ascii="Times New Roman" w:hAnsi="Times New Roman" w:eastAsia="宋体" w:cs="宋体"/>
                <w:b/>
                <w:color w:val="000000"/>
                <w:sz w:val="21"/>
                <w:szCs w:val="21"/>
              </w:rPr>
              <w:t>表</w:t>
            </w:r>
            <w:r>
              <w:rPr>
                <w:rFonts w:hint="eastAsia" w:ascii="Times New Roman" w:hAnsi="Times New Roman" w:eastAsia="宋体" w:cs="宋体"/>
                <w:b/>
                <w:color w:val="000000"/>
                <w:sz w:val="21"/>
                <w:szCs w:val="21"/>
                <w:lang w:val="en-US" w:eastAsia="zh-CN"/>
              </w:rPr>
              <w:t>2</w:t>
            </w:r>
            <w:r>
              <w:rPr>
                <w:rFonts w:hint="eastAsia" w:ascii="Times New Roman" w:hAnsi="Times New Roman" w:eastAsia="宋体" w:cs="宋体"/>
                <w:b/>
                <w:color w:val="000000"/>
                <w:sz w:val="21"/>
                <w:szCs w:val="21"/>
              </w:rPr>
              <w:t>-</w:t>
            </w:r>
            <w:r>
              <w:rPr>
                <w:rFonts w:hint="eastAsia" w:cs="宋体"/>
                <w:b/>
                <w:color w:val="000000"/>
                <w:sz w:val="21"/>
                <w:szCs w:val="21"/>
                <w:lang w:val="en-US" w:eastAsia="zh-CN"/>
              </w:rPr>
              <w:t>1</w:t>
            </w:r>
            <w:r>
              <w:rPr>
                <w:rFonts w:hint="eastAsia" w:ascii="Times New Roman" w:hAnsi="Times New Roman" w:eastAsia="宋体" w:cs="宋体"/>
                <w:b/>
                <w:color w:val="000000"/>
                <w:sz w:val="21"/>
                <w:szCs w:val="21"/>
              </w:rPr>
              <w:t xml:space="preserve"> </w:t>
            </w:r>
            <w:r>
              <w:rPr>
                <w:rFonts w:hint="eastAsia" w:ascii="Times New Roman" w:hAnsi="Times New Roman" w:eastAsia="宋体" w:cs="宋体"/>
                <w:b/>
                <w:color w:val="000000"/>
                <w:sz w:val="21"/>
                <w:szCs w:val="21"/>
                <w:lang w:val="en-US" w:eastAsia="zh-CN"/>
              </w:rPr>
              <w:t xml:space="preserve"> 建设项目环境影响评价分类管理名录（摘录）</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617"/>
              <w:gridCol w:w="1243"/>
              <w:gridCol w:w="3204"/>
              <w:gridCol w:w="1043"/>
            </w:tblGrid>
            <w:tr w14:paraId="72681E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98" w:hRule="atLeast"/>
                <w:tblHeader/>
                <w:jc w:val="center"/>
              </w:trPr>
              <w:tc>
                <w:tcPr>
                  <w:tcW w:w="2617" w:type="dxa"/>
                  <w:tcBorders>
                    <w:tl2br w:val="nil"/>
                    <w:tr2bl w:val="nil"/>
                  </w:tcBorders>
                  <w:noWrap w:val="0"/>
                  <w:vAlign w:val="center"/>
                  <mc:AlternateContent>
                    <mc:Choice Requires="wpsCustomData">
                      <wpsCustomData:diagonals>
                        <wpsCustomData:diagonal from="10000" to="30000">
                          <wpsCustomData:border w:val="single" w:color="auto" w:sz="12" w:space="0"/>
                        </wpsCustomData:diagonal>
                      </wpsCustomData:diagonals>
                    </mc:Choice>
                  </mc:AlternateContent>
                </w:tcPr>
                <w:p w14:paraId="4FA8436A">
                  <w:pPr>
                    <w:pStyle w:val="24"/>
                    <w:snapToGrid w:val="0"/>
                    <w:jc w:val="both"/>
                    <w:rPr>
                      <w:rFonts w:hint="eastAsia" w:cs="Times New Roman"/>
                      <w:b/>
                      <w:bCs/>
                      <w:color w:val="000000"/>
                      <w:sz w:val="10"/>
                      <w:szCs w:val="10"/>
                      <w:lang w:val="en-US" w:eastAsia="zh-CN"/>
                    </w:rPr>
                  </w:pPr>
                </w:p>
                <w:p w14:paraId="09AFF90E">
                  <w:pPr>
                    <w:pStyle w:val="24"/>
                    <w:snapToGrid w:val="0"/>
                    <w:jc w:val="both"/>
                    <mc:AlternateContent>
                      <mc:Choice Requires="wpsCustomData">
                        <wpsCustomData:diagonalParaType/>
                      </mc:Choice>
                    </mc:AlternateContent>
                    <w:rPr>
                      <w:rFonts w:hint="default"/>
                    </w:rPr>
                  </w:pPr>
                  <w:r>
                    <w:rPr>
                      <w:rFonts w:hint="eastAsia" w:cs="Times New Roman"/>
                      <w:b/>
                      <w:bCs/>
                      <w:color w:val="000000"/>
                      <w:sz w:val="21"/>
                      <w:szCs w:val="21"/>
                      <w:lang w:val="en-US" w:eastAsia="zh-CN"/>
                    </w:rPr>
                    <w:t>项目类别</w:t>
                  </w:r>
                </w:p>
                <w:p w14:paraId="4DB3C2AC">
                  <w:pPr>
                    <w:pStyle w:val="24"/>
                    <w:jc w:val="both"/>
                    <w:rPr>
                      <w:rFonts w:hint="default" w:eastAsia="宋体"/>
                      <w:lang w:val="en-US" w:eastAsia="zh-CN"/>
                    </w:rPr>
                  </w:pPr>
                  <w:r>
                    <w:rPr>
                      <w:rFonts w:hint="eastAsia"/>
                      <w:lang w:val="en-US" w:eastAsia="zh-CN"/>
                    </w:rPr>
                    <w:t xml:space="preserve">   </w:t>
                  </w:r>
                  <w:r>
                    <w:rPr>
                      <w:rFonts w:hint="eastAsia" w:cs="Times New Roman"/>
                      <w:b/>
                      <w:bCs/>
                      <w:color w:val="000000"/>
                      <w:sz w:val="21"/>
                      <w:szCs w:val="21"/>
                      <w:lang w:val="en-US" w:eastAsia="zh-CN"/>
                    </w:rPr>
                    <w:t>环评类别</w:t>
                  </w:r>
                </w:p>
              </w:tc>
              <w:tc>
                <w:tcPr>
                  <w:tcW w:w="1243" w:type="dxa"/>
                  <w:tcBorders>
                    <w:tl2br w:val="nil"/>
                    <w:tr2bl w:val="nil"/>
                  </w:tcBorders>
                  <w:noWrap w:val="0"/>
                  <w:vAlign w:val="center"/>
                </w:tcPr>
                <w:p w14:paraId="18F5B789">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报告书</w:t>
                  </w:r>
                </w:p>
              </w:tc>
              <w:tc>
                <w:tcPr>
                  <w:tcW w:w="3204" w:type="dxa"/>
                  <w:tcBorders>
                    <w:tl2br w:val="nil"/>
                    <w:tr2bl w:val="nil"/>
                  </w:tcBorders>
                  <w:noWrap w:val="0"/>
                  <w:vAlign w:val="center"/>
                </w:tcPr>
                <w:p w14:paraId="6983840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报告表</w:t>
                  </w:r>
                </w:p>
              </w:tc>
              <w:tc>
                <w:tcPr>
                  <w:tcW w:w="1043" w:type="dxa"/>
                  <w:tcBorders>
                    <w:tl2br w:val="nil"/>
                    <w:tr2bl w:val="nil"/>
                  </w:tcBorders>
                  <w:noWrap w:val="0"/>
                  <w:vAlign w:val="center"/>
                </w:tcPr>
                <w:p w14:paraId="2E14B191">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color w:val="000000"/>
                      <w:sz w:val="21"/>
                      <w:szCs w:val="21"/>
                      <w:lang w:eastAsia="zh-CN"/>
                    </w:rPr>
                  </w:pPr>
                  <w:r>
                    <w:rPr>
                      <w:rFonts w:hint="eastAsia" w:cs="Times New Roman"/>
                      <w:b/>
                      <w:bCs/>
                      <w:color w:val="000000"/>
                      <w:sz w:val="21"/>
                      <w:szCs w:val="21"/>
                      <w:lang w:val="en-US" w:eastAsia="zh-CN"/>
                    </w:rPr>
                    <w:t>登记表</w:t>
                  </w:r>
                </w:p>
              </w:tc>
            </w:tr>
            <w:tr w14:paraId="2C3EEA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107" w:type="dxa"/>
                  <w:gridSpan w:val="4"/>
                  <w:tcBorders>
                    <w:tl2br w:val="nil"/>
                    <w:tr2bl w:val="nil"/>
                  </w:tcBorders>
                  <w:noWrap w:val="0"/>
                  <w:vAlign w:val="center"/>
                </w:tcPr>
                <w:p w14:paraId="074124DA">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kern w:val="2"/>
                      <w:sz w:val="21"/>
                      <w:szCs w:val="21"/>
                      <w:vertAlign w:val="baseline"/>
                      <w:lang w:val="en-US" w:eastAsia="zh-CN" w:bidi="ar-SA"/>
                    </w:rPr>
                  </w:pPr>
                  <w:r>
                    <w:rPr>
                      <w:rFonts w:hint="eastAsia" w:cs="Times New Roman"/>
                      <w:color w:val="000000"/>
                      <w:kern w:val="2"/>
                      <w:sz w:val="21"/>
                      <w:szCs w:val="21"/>
                      <w:vertAlign w:val="baseline"/>
                      <w:lang w:val="en-US" w:eastAsia="zh-CN" w:bidi="ar-SA"/>
                    </w:rPr>
                    <w:t>十九、造纸和纸制品业 22</w:t>
                  </w:r>
                </w:p>
              </w:tc>
            </w:tr>
            <w:tr w14:paraId="491DB5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617" w:type="dxa"/>
                  <w:tcBorders>
                    <w:tl2br w:val="nil"/>
                    <w:tr2bl w:val="nil"/>
                  </w:tcBorders>
                  <w:noWrap w:val="0"/>
                  <w:vAlign w:val="center"/>
                </w:tcPr>
                <w:p w14:paraId="30E0F44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 xml:space="preserve">38 </w:t>
                  </w:r>
                  <w:r>
                    <w:rPr>
                      <w:rFonts w:hint="default" w:ascii="Times New Roman" w:hAnsi="Times New Roman" w:eastAsia="宋体" w:cs="Times New Roman"/>
                      <w:color w:val="000000"/>
                      <w:sz w:val="21"/>
                      <w:szCs w:val="21"/>
                    </w:rPr>
                    <w:t>纸制品制造 223*</w:t>
                  </w:r>
                </w:p>
              </w:tc>
              <w:tc>
                <w:tcPr>
                  <w:tcW w:w="1243" w:type="dxa"/>
                  <w:tcBorders>
                    <w:tl2br w:val="nil"/>
                    <w:tr2bl w:val="nil"/>
                  </w:tcBorders>
                  <w:noWrap w:val="0"/>
                  <w:vAlign w:val="center"/>
                </w:tcPr>
                <w:p w14:paraId="3C23B40B">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3204" w:type="dxa"/>
                  <w:tcBorders>
                    <w:tl2br w:val="nil"/>
                    <w:tr2bl w:val="nil"/>
                  </w:tcBorders>
                  <w:noWrap w:val="0"/>
                  <w:vAlign w:val="center"/>
                </w:tcPr>
                <w:p w14:paraId="7EA75A9D">
                  <w:pPr>
                    <w:keepNext w:val="0"/>
                    <w:keepLines w:val="0"/>
                    <w:suppressLineNumbers w:val="0"/>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eastAsia" w:cs="Times New Roman"/>
                      <w:color w:val="000000"/>
                      <w:sz w:val="21"/>
                      <w:szCs w:val="21"/>
                      <w:lang w:val="en-US" w:eastAsia="zh-CN"/>
                    </w:rPr>
                    <w:t>有涂布、浸渍、印刷、粘胶工艺的</w:t>
                  </w:r>
                </w:p>
              </w:tc>
              <w:tc>
                <w:tcPr>
                  <w:tcW w:w="1043" w:type="dxa"/>
                  <w:tcBorders>
                    <w:tl2br w:val="nil"/>
                    <w:tr2bl w:val="nil"/>
                  </w:tcBorders>
                  <w:noWrap w:val="0"/>
                  <w:vAlign w:val="center"/>
                </w:tcPr>
                <w:p w14:paraId="3DDE7CB8">
                  <w:pPr>
                    <w:keepNext w:val="0"/>
                    <w:keepLines w:val="0"/>
                    <w:suppressLineNumbers w:val="0"/>
                    <w:spacing w:before="0" w:beforeAutospacing="0" w:after="0" w:afterAutospacing="0" w:line="240" w:lineRule="auto"/>
                    <w:ind w:left="0" w:leftChars="0" w:right="0" w:rightChars="0"/>
                    <w:jc w:val="center"/>
                    <w:rPr>
                      <w:rFonts w:hint="default" w:cs="Times New Roman"/>
                      <w:color w:val="000000"/>
                      <w:kern w:val="2"/>
                      <w:sz w:val="21"/>
                      <w:szCs w:val="21"/>
                      <w:vertAlign w:val="baseline"/>
                      <w:lang w:val="en-US" w:eastAsia="zh-CN" w:bidi="ar-SA"/>
                    </w:rPr>
                  </w:pPr>
                  <w:r>
                    <w:rPr>
                      <w:rFonts w:hint="eastAsia" w:cs="Times New Roman"/>
                      <w:color w:val="000000"/>
                      <w:kern w:val="2"/>
                      <w:sz w:val="21"/>
                      <w:szCs w:val="21"/>
                      <w:vertAlign w:val="baseline"/>
                      <w:lang w:val="en-US" w:eastAsia="zh-CN" w:bidi="ar-SA"/>
                    </w:rPr>
                    <w:t>/</w:t>
                  </w:r>
                </w:p>
              </w:tc>
            </w:tr>
          </w:tbl>
          <w:p w14:paraId="3BEED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因此，</w:t>
            </w:r>
            <w:r>
              <w:rPr>
                <w:rFonts w:hint="eastAsia" w:ascii="Times New Roman" w:hAnsi="Times New Roman" w:eastAsia="宋体" w:cs="宋体"/>
                <w:b w:val="0"/>
                <w:bCs w:val="0"/>
                <w:color w:val="000000"/>
                <w:sz w:val="21"/>
                <w:szCs w:val="21"/>
                <w:lang w:val="en-US" w:eastAsia="zh-CN"/>
              </w:rPr>
              <w:t>福建省泓瀚卫生用品有限公司</w:t>
            </w:r>
            <w:r>
              <w:rPr>
                <w:rFonts w:hint="default" w:ascii="Times New Roman" w:hAnsi="Times New Roman" w:eastAsia="宋体" w:cs="Times New Roman"/>
                <w:b w:val="0"/>
                <w:bCs w:val="0"/>
                <w:color w:val="000000"/>
                <w:sz w:val="21"/>
                <w:szCs w:val="21"/>
                <w:lang w:val="en-US" w:eastAsia="zh-CN"/>
              </w:rPr>
              <w:t>委托本公司编制该项目的环境影响报告表（详见</w:t>
            </w:r>
            <w:r>
              <w:rPr>
                <w:rFonts w:hint="default" w:ascii="Times New Roman" w:hAnsi="Times New Roman" w:eastAsia="宋体" w:cs="Times New Roman"/>
                <w:b/>
                <w:bCs/>
                <w:color w:val="000000"/>
                <w:sz w:val="21"/>
                <w:szCs w:val="21"/>
                <w:lang w:val="en-US" w:eastAsia="zh-CN"/>
              </w:rPr>
              <w:t>附件</w:t>
            </w:r>
            <w:r>
              <w:rPr>
                <w:rFonts w:hint="eastAsia" w:ascii="Times New Roman" w:hAnsi="Times New Roman" w:eastAsia="宋体" w:cs="Times New Roman"/>
                <w:b/>
                <w:bCs/>
                <w:color w:val="000000"/>
                <w:sz w:val="21"/>
                <w:szCs w:val="21"/>
                <w:lang w:val="en-US" w:eastAsia="zh-CN"/>
              </w:rPr>
              <w:t>10</w:t>
            </w:r>
            <w:r>
              <w:rPr>
                <w:rFonts w:hint="default" w:ascii="Times New Roman" w:hAnsi="Times New Roman" w:eastAsia="宋体" w:cs="Times New Roman"/>
                <w:b/>
                <w:bCs/>
                <w:color w:val="000000"/>
                <w:sz w:val="21"/>
                <w:szCs w:val="21"/>
                <w:lang w:val="en-US" w:eastAsia="zh-CN"/>
              </w:rPr>
              <w:t>：委托书</w:t>
            </w:r>
            <w:r>
              <w:rPr>
                <w:rFonts w:hint="default" w:ascii="Times New Roman" w:hAnsi="Times New Roman" w:eastAsia="宋体" w:cs="Times New Roman"/>
                <w:b w:val="0"/>
                <w:bCs w:val="0"/>
                <w:color w:val="000000"/>
                <w:sz w:val="21"/>
                <w:szCs w:val="21"/>
                <w:lang w:val="en-US" w:eastAsia="zh-CN"/>
              </w:rPr>
              <w:t>）。评价单位接受委托后即派技术人员现场踏勘和收集资料，并依照《建设项目环境影响评价技术导则》等相关规定编制完成本项目环境影响报告表，供建设单位报环保行政主管部门审批。</w:t>
            </w:r>
          </w:p>
          <w:p w14:paraId="18E2D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宋体"/>
                <w:b/>
                <w:bCs/>
                <w:color w:val="000000"/>
                <w:sz w:val="24"/>
                <w:szCs w:val="24"/>
                <w:lang w:val="en-US" w:eastAsia="zh-CN"/>
              </w:rPr>
            </w:pPr>
            <w:r>
              <w:rPr>
                <w:rFonts w:hint="eastAsia" w:ascii="Times New Roman" w:hAnsi="Times New Roman" w:eastAsia="宋体" w:cs="宋体"/>
                <w:b/>
                <w:bCs/>
                <w:color w:val="000000"/>
                <w:sz w:val="24"/>
                <w:szCs w:val="24"/>
                <w:lang w:val="en-US" w:eastAsia="zh-CN"/>
              </w:rPr>
              <w:t>2.</w:t>
            </w:r>
            <w:r>
              <w:rPr>
                <w:rFonts w:hint="eastAsia" w:cs="宋体"/>
                <w:b/>
                <w:bCs/>
                <w:color w:val="000000"/>
                <w:sz w:val="24"/>
                <w:szCs w:val="24"/>
                <w:lang w:val="en-US" w:eastAsia="zh-CN"/>
              </w:rPr>
              <w:t>2</w:t>
            </w:r>
            <w:r>
              <w:rPr>
                <w:rFonts w:hint="eastAsia" w:ascii="Times New Roman" w:hAnsi="Times New Roman" w:eastAsia="宋体" w:cs="宋体"/>
                <w:b/>
                <w:bCs/>
                <w:color w:val="000000"/>
                <w:sz w:val="24"/>
                <w:szCs w:val="24"/>
                <w:lang w:val="en-US" w:eastAsia="zh-CN"/>
              </w:rPr>
              <w:t xml:space="preserve"> 项目概况</w:t>
            </w:r>
          </w:p>
          <w:p w14:paraId="27CAE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宋体"/>
                <w:b w:val="0"/>
                <w:bCs w:val="0"/>
                <w:color w:val="000000"/>
                <w:sz w:val="21"/>
                <w:szCs w:val="21"/>
                <w:lang w:val="en-US" w:eastAsia="zh-CN"/>
              </w:rPr>
            </w:pPr>
            <w:r>
              <w:rPr>
                <w:rFonts w:hint="eastAsia" w:cs="宋体"/>
                <w:b w:val="0"/>
                <w:bCs w:val="0"/>
                <w:color w:val="000000"/>
                <w:sz w:val="21"/>
                <w:szCs w:val="21"/>
                <w:lang w:val="en-US" w:eastAsia="zh-CN"/>
              </w:rPr>
              <w:t>1、</w:t>
            </w:r>
            <w:r>
              <w:rPr>
                <w:rFonts w:hint="eastAsia" w:ascii="Times New Roman" w:hAnsi="Times New Roman" w:eastAsia="宋体" w:cs="宋体"/>
                <w:b w:val="0"/>
                <w:bCs w:val="0"/>
                <w:color w:val="000000"/>
                <w:sz w:val="21"/>
                <w:szCs w:val="21"/>
                <w:lang w:val="en-US" w:eastAsia="zh-CN"/>
              </w:rPr>
              <w:t>生产规模：</w:t>
            </w:r>
            <w:bookmarkStart w:id="2" w:name="OLE_LINK90"/>
            <w:r>
              <w:rPr>
                <w:rFonts w:hint="eastAsia" w:ascii="Times New Roman" w:hAnsi="Times New Roman" w:eastAsia="宋体" w:cs="宋体"/>
                <w:b w:val="0"/>
                <w:bCs w:val="0"/>
                <w:color w:val="000000"/>
                <w:sz w:val="21"/>
                <w:szCs w:val="21"/>
                <w:lang w:val="en-US" w:eastAsia="zh-CN"/>
              </w:rPr>
              <w:t>年产经期裤3000万片、护垫500万片、卫生巾3000万片</w:t>
            </w:r>
            <w:bookmarkEnd w:id="2"/>
            <w:r>
              <w:rPr>
                <w:rFonts w:hint="eastAsia" w:cs="宋体"/>
                <w:b w:val="0"/>
                <w:bCs w:val="0"/>
                <w:color w:val="000000"/>
                <w:sz w:val="21"/>
                <w:szCs w:val="21"/>
                <w:lang w:val="en-US" w:eastAsia="zh-CN"/>
              </w:rPr>
              <w:t>，年产值7000万元</w:t>
            </w:r>
            <w:r>
              <w:rPr>
                <w:rFonts w:hint="eastAsia" w:ascii="Times New Roman" w:hAnsi="Times New Roman" w:eastAsia="宋体" w:cs="宋体"/>
                <w:b w:val="0"/>
                <w:bCs w:val="0"/>
                <w:color w:val="000000"/>
                <w:sz w:val="21"/>
                <w:szCs w:val="21"/>
                <w:lang w:val="en-US" w:eastAsia="zh-CN"/>
              </w:rPr>
              <w:t>。</w:t>
            </w:r>
          </w:p>
          <w:p w14:paraId="55729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宋体"/>
                <w:b w:val="0"/>
                <w:bCs w:val="0"/>
                <w:color w:val="000000"/>
                <w:sz w:val="21"/>
                <w:szCs w:val="21"/>
                <w:lang w:val="en-US" w:eastAsia="zh-CN"/>
              </w:rPr>
            </w:pPr>
            <w:r>
              <w:rPr>
                <w:rFonts w:hint="eastAsia" w:cs="宋体"/>
                <w:b w:val="0"/>
                <w:bCs w:val="0"/>
                <w:color w:val="000000"/>
                <w:sz w:val="21"/>
                <w:szCs w:val="21"/>
                <w:lang w:val="en-US" w:eastAsia="zh-CN"/>
              </w:rPr>
              <w:t>2、</w:t>
            </w:r>
            <w:r>
              <w:rPr>
                <w:rFonts w:hint="eastAsia" w:ascii="Times New Roman" w:hAnsi="Times New Roman" w:eastAsia="宋体" w:cs="宋体"/>
                <w:b w:val="0"/>
                <w:bCs w:val="0"/>
                <w:color w:val="000000"/>
                <w:sz w:val="21"/>
                <w:szCs w:val="21"/>
                <w:lang w:val="en-US" w:eastAsia="zh-CN"/>
              </w:rPr>
              <w:t>职工人数：职工</w:t>
            </w:r>
            <w:r>
              <w:rPr>
                <w:rFonts w:hint="eastAsia" w:cs="宋体"/>
                <w:b w:val="0"/>
                <w:bCs w:val="0"/>
                <w:color w:val="000000"/>
                <w:sz w:val="21"/>
                <w:szCs w:val="21"/>
                <w:lang w:val="en-US" w:eastAsia="zh-CN"/>
              </w:rPr>
              <w:t>150</w:t>
            </w:r>
            <w:r>
              <w:rPr>
                <w:rFonts w:hint="eastAsia" w:ascii="Times New Roman" w:hAnsi="Times New Roman" w:eastAsia="宋体" w:cs="宋体"/>
                <w:b w:val="0"/>
                <w:bCs w:val="0"/>
                <w:color w:val="000000"/>
                <w:sz w:val="21"/>
                <w:szCs w:val="21"/>
                <w:lang w:val="en-US" w:eastAsia="zh-CN"/>
              </w:rPr>
              <w:t>人（</w:t>
            </w:r>
            <w:r>
              <w:rPr>
                <w:rFonts w:hint="eastAsia" w:cs="宋体"/>
                <w:b w:val="0"/>
                <w:bCs w:val="0"/>
                <w:color w:val="000000"/>
                <w:sz w:val="21"/>
                <w:szCs w:val="21"/>
                <w:lang w:val="en-US" w:eastAsia="zh-CN"/>
              </w:rPr>
              <w:t>其中120人住宿</w:t>
            </w:r>
            <w:r>
              <w:rPr>
                <w:rFonts w:hint="eastAsia" w:ascii="Times New Roman" w:hAnsi="Times New Roman" w:eastAsia="宋体" w:cs="宋体"/>
                <w:b w:val="0"/>
                <w:bCs w:val="0"/>
                <w:color w:val="000000"/>
                <w:sz w:val="21"/>
                <w:szCs w:val="21"/>
                <w:lang w:val="en-US" w:eastAsia="zh-CN"/>
              </w:rPr>
              <w:t>）。</w:t>
            </w:r>
          </w:p>
          <w:p w14:paraId="117F03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宋体"/>
                <w:b w:val="0"/>
                <w:bCs w:val="0"/>
                <w:color w:val="000000"/>
                <w:sz w:val="21"/>
                <w:szCs w:val="21"/>
                <w:lang w:val="en-US" w:eastAsia="zh-CN"/>
              </w:rPr>
            </w:pPr>
            <w:r>
              <w:rPr>
                <w:rFonts w:hint="eastAsia" w:cs="宋体"/>
                <w:b w:val="0"/>
                <w:bCs w:val="0"/>
                <w:color w:val="000000"/>
                <w:sz w:val="21"/>
                <w:szCs w:val="21"/>
                <w:lang w:val="en-US" w:eastAsia="zh-CN"/>
              </w:rPr>
              <w:t>3、</w:t>
            </w:r>
            <w:r>
              <w:rPr>
                <w:rFonts w:hint="eastAsia" w:ascii="Times New Roman" w:hAnsi="Times New Roman" w:eastAsia="宋体" w:cs="宋体"/>
                <w:b w:val="0"/>
                <w:bCs w:val="0"/>
                <w:color w:val="000000"/>
                <w:sz w:val="21"/>
                <w:szCs w:val="21"/>
                <w:lang w:val="en-US" w:eastAsia="zh-CN"/>
              </w:rPr>
              <w:t>工作制度：年工作日</w:t>
            </w:r>
            <w:r>
              <w:rPr>
                <w:rFonts w:hint="eastAsia" w:cs="宋体"/>
                <w:b w:val="0"/>
                <w:bCs w:val="0"/>
                <w:color w:val="000000"/>
                <w:sz w:val="21"/>
                <w:szCs w:val="21"/>
                <w:lang w:val="en-US" w:eastAsia="zh-CN"/>
              </w:rPr>
              <w:t>300</w:t>
            </w:r>
            <w:r>
              <w:rPr>
                <w:rFonts w:hint="eastAsia" w:ascii="Times New Roman" w:hAnsi="Times New Roman" w:eastAsia="宋体" w:cs="宋体"/>
                <w:b w:val="0"/>
                <w:bCs w:val="0"/>
                <w:color w:val="000000"/>
                <w:sz w:val="21"/>
                <w:szCs w:val="21"/>
                <w:lang w:val="en-US" w:eastAsia="zh-CN"/>
              </w:rPr>
              <w:t>天，实行一班工作制，工作</w:t>
            </w:r>
            <w:r>
              <w:rPr>
                <w:rFonts w:hint="eastAsia" w:cs="宋体"/>
                <w:b w:val="0"/>
                <w:bCs w:val="0"/>
                <w:color w:val="000000"/>
                <w:sz w:val="21"/>
                <w:szCs w:val="21"/>
                <w:lang w:val="en-US" w:eastAsia="zh-CN"/>
              </w:rPr>
              <w:t>9</w:t>
            </w:r>
            <w:r>
              <w:rPr>
                <w:rFonts w:hint="eastAsia" w:ascii="Times New Roman" w:hAnsi="Times New Roman" w:eastAsia="宋体" w:cs="宋体"/>
                <w:b w:val="0"/>
                <w:bCs w:val="0"/>
                <w:color w:val="000000"/>
                <w:sz w:val="21"/>
                <w:szCs w:val="21"/>
                <w:lang w:val="en-US" w:eastAsia="zh-CN"/>
              </w:rPr>
              <w:t>小时，夜间不生产</w:t>
            </w:r>
            <w:r>
              <w:rPr>
                <w:rFonts w:hint="eastAsia" w:cs="宋体"/>
                <w:b w:val="0"/>
                <w:bCs w:val="0"/>
                <w:color w:val="000000"/>
                <w:sz w:val="21"/>
                <w:szCs w:val="21"/>
                <w:lang w:val="en-US" w:eastAsia="zh-CN"/>
              </w:rPr>
              <w:t>。</w:t>
            </w:r>
          </w:p>
          <w:p w14:paraId="0BD2E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宋体"/>
                <w:b/>
                <w:bCs/>
                <w:color w:val="000000"/>
                <w:sz w:val="24"/>
                <w:szCs w:val="24"/>
                <w:lang w:val="en-US" w:eastAsia="zh-CN"/>
              </w:rPr>
            </w:pPr>
            <w:r>
              <w:rPr>
                <w:rFonts w:hint="eastAsia" w:ascii="Times New Roman" w:hAnsi="Times New Roman" w:eastAsia="宋体" w:cs="宋体"/>
                <w:b/>
                <w:bCs/>
                <w:color w:val="000000"/>
                <w:sz w:val="24"/>
                <w:szCs w:val="24"/>
                <w:lang w:val="en-US" w:eastAsia="zh-CN"/>
              </w:rPr>
              <w:t>2.</w:t>
            </w:r>
            <w:r>
              <w:rPr>
                <w:rFonts w:hint="eastAsia" w:cs="宋体"/>
                <w:b/>
                <w:bCs/>
                <w:color w:val="000000"/>
                <w:sz w:val="24"/>
                <w:szCs w:val="24"/>
                <w:lang w:val="en-US" w:eastAsia="zh-CN"/>
              </w:rPr>
              <w:t>3</w:t>
            </w:r>
            <w:r>
              <w:rPr>
                <w:rFonts w:hint="eastAsia" w:ascii="Times New Roman" w:hAnsi="Times New Roman" w:eastAsia="宋体" w:cs="宋体"/>
                <w:b/>
                <w:bCs/>
                <w:color w:val="000000"/>
                <w:sz w:val="24"/>
                <w:szCs w:val="24"/>
                <w:lang w:val="en-US" w:eastAsia="zh-CN"/>
              </w:rPr>
              <w:t xml:space="preserve"> 项目主要建设内容</w:t>
            </w:r>
          </w:p>
          <w:p w14:paraId="0ECCFA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宋体"/>
                <w:color w:val="000000"/>
                <w:sz w:val="21"/>
                <w:szCs w:val="21"/>
                <w:lang w:val="en-US" w:eastAsia="zh-CN"/>
              </w:rPr>
            </w:pPr>
            <w:r>
              <w:rPr>
                <w:rFonts w:hint="eastAsia" w:ascii="Times New Roman" w:hAnsi="Times New Roman" w:eastAsia="宋体" w:cs="宋体"/>
                <w:color w:val="auto"/>
                <w:sz w:val="21"/>
                <w:szCs w:val="21"/>
                <w:lang w:val="en-US" w:eastAsia="zh-CN"/>
              </w:rPr>
              <w:t>项目</w:t>
            </w:r>
            <w:r>
              <w:rPr>
                <w:rFonts w:hint="eastAsia" w:cs="宋体"/>
                <w:color w:val="auto"/>
                <w:sz w:val="21"/>
                <w:szCs w:val="21"/>
                <w:lang w:val="en-US" w:eastAsia="zh-CN"/>
              </w:rPr>
              <w:t>主要建设内容</w:t>
            </w:r>
            <w:r>
              <w:rPr>
                <w:rFonts w:hint="eastAsia" w:ascii="Times New Roman" w:hAnsi="Times New Roman" w:eastAsia="宋体" w:cs="宋体"/>
                <w:color w:val="auto"/>
                <w:sz w:val="21"/>
                <w:szCs w:val="21"/>
                <w:lang w:val="en-US" w:eastAsia="zh-CN"/>
              </w:rPr>
              <w:t>详见</w:t>
            </w:r>
            <w:r>
              <w:rPr>
                <w:rFonts w:hint="eastAsia" w:cs="宋体"/>
                <w:b w:val="0"/>
                <w:bCs w:val="0"/>
                <w:color w:val="auto"/>
                <w:sz w:val="21"/>
                <w:szCs w:val="21"/>
                <w:lang w:val="en-US" w:eastAsia="zh-CN"/>
              </w:rPr>
              <w:t>下表</w:t>
            </w:r>
            <w:r>
              <w:rPr>
                <w:rFonts w:hint="eastAsia" w:ascii="Times New Roman" w:hAnsi="Times New Roman" w:eastAsia="宋体" w:cs="宋体"/>
                <w:color w:val="auto"/>
                <w:sz w:val="21"/>
                <w:szCs w:val="21"/>
                <w:lang w:val="en-US" w:eastAsia="zh-CN"/>
              </w:rPr>
              <w:t>。</w:t>
            </w:r>
          </w:p>
          <w:p w14:paraId="75678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宋体"/>
                <w:b/>
                <w:color w:val="000000"/>
                <w:sz w:val="21"/>
                <w:szCs w:val="21"/>
                <w:lang w:val="en-US" w:eastAsia="zh-CN"/>
              </w:rPr>
            </w:pPr>
            <w:r>
              <w:rPr>
                <w:rFonts w:hint="eastAsia" w:ascii="Times New Roman" w:hAnsi="Times New Roman" w:eastAsia="宋体" w:cs="宋体"/>
                <w:b/>
                <w:color w:val="000000"/>
                <w:sz w:val="21"/>
                <w:szCs w:val="21"/>
              </w:rPr>
              <w:t>表</w:t>
            </w:r>
            <w:r>
              <w:rPr>
                <w:rFonts w:hint="eastAsia" w:ascii="Times New Roman" w:hAnsi="Times New Roman" w:eastAsia="宋体" w:cs="宋体"/>
                <w:b/>
                <w:color w:val="000000"/>
                <w:sz w:val="21"/>
                <w:szCs w:val="21"/>
                <w:lang w:val="en-US" w:eastAsia="zh-CN"/>
              </w:rPr>
              <w:t>2</w:t>
            </w:r>
            <w:r>
              <w:rPr>
                <w:rFonts w:hint="eastAsia" w:ascii="Times New Roman" w:hAnsi="Times New Roman" w:eastAsia="宋体" w:cs="宋体"/>
                <w:b/>
                <w:color w:val="000000"/>
                <w:sz w:val="21"/>
                <w:szCs w:val="21"/>
              </w:rPr>
              <w:t>-</w:t>
            </w:r>
            <w:r>
              <w:rPr>
                <w:rFonts w:hint="eastAsia" w:cs="宋体"/>
                <w:b/>
                <w:color w:val="000000"/>
                <w:sz w:val="21"/>
                <w:szCs w:val="21"/>
                <w:lang w:val="en-US" w:eastAsia="zh-CN"/>
              </w:rPr>
              <w:t>2</w:t>
            </w:r>
            <w:r>
              <w:rPr>
                <w:rFonts w:hint="eastAsia" w:ascii="Times New Roman" w:hAnsi="Times New Roman" w:eastAsia="宋体" w:cs="宋体"/>
                <w:b/>
                <w:color w:val="000000"/>
                <w:sz w:val="21"/>
                <w:szCs w:val="21"/>
              </w:rPr>
              <w:t xml:space="preserve"> </w:t>
            </w:r>
            <w:r>
              <w:rPr>
                <w:rFonts w:hint="eastAsia" w:ascii="Times New Roman" w:hAnsi="Times New Roman" w:eastAsia="宋体" w:cs="宋体"/>
                <w:b/>
                <w:color w:val="000000"/>
                <w:sz w:val="21"/>
                <w:szCs w:val="21"/>
                <w:lang w:val="en-US" w:eastAsia="zh-CN"/>
              </w:rPr>
              <w:t xml:space="preserve"> </w:t>
            </w:r>
            <w:r>
              <w:rPr>
                <w:rFonts w:hint="default" w:ascii="Times New Roman" w:hAnsi="Times New Roman" w:cs="Times New Roman"/>
                <w:b/>
                <w:color w:val="000000"/>
                <w:sz w:val="21"/>
                <w:szCs w:val="21"/>
              </w:rPr>
              <w:t>项</w:t>
            </w:r>
            <w:r>
              <w:rPr>
                <w:rFonts w:hint="eastAsia" w:ascii="Times New Roman" w:hAnsi="Times New Roman" w:cs="Times New Roman"/>
                <w:b/>
                <w:color w:val="000000"/>
                <w:sz w:val="21"/>
                <w:szCs w:val="21"/>
                <w:lang w:val="en-US" w:eastAsia="zh-CN"/>
              </w:rPr>
              <w:t>目主要建设内容</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36"/>
              <w:gridCol w:w="596"/>
              <w:gridCol w:w="799"/>
              <w:gridCol w:w="1138"/>
              <w:gridCol w:w="5038"/>
            </w:tblGrid>
            <w:tr w14:paraId="52ED76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3" w:hRule="atLeast"/>
                <w:tblHeader/>
                <w:jc w:val="center"/>
              </w:trPr>
              <w:tc>
                <w:tcPr>
                  <w:tcW w:w="536" w:type="dxa"/>
                  <w:tcBorders>
                    <w:tl2br w:val="nil"/>
                    <w:tr2bl w:val="nil"/>
                  </w:tcBorders>
                  <w:noWrap w:val="0"/>
                  <w:vAlign w:val="center"/>
                </w:tcPr>
                <w:p w14:paraId="44E9230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类别</w:t>
                  </w:r>
                </w:p>
              </w:tc>
              <w:tc>
                <w:tcPr>
                  <w:tcW w:w="596" w:type="dxa"/>
                  <w:tcBorders>
                    <w:tl2br w:val="nil"/>
                    <w:tr2bl w:val="nil"/>
                  </w:tcBorders>
                  <w:noWrap w:val="0"/>
                  <w:vAlign w:val="center"/>
                </w:tcPr>
                <w:p w14:paraId="1B23E46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序号</w:t>
                  </w:r>
                </w:p>
              </w:tc>
              <w:tc>
                <w:tcPr>
                  <w:tcW w:w="1937" w:type="dxa"/>
                  <w:gridSpan w:val="2"/>
                  <w:tcBorders>
                    <w:tl2br w:val="nil"/>
                    <w:tr2bl w:val="nil"/>
                  </w:tcBorders>
                  <w:noWrap w:val="0"/>
                  <w:vAlign w:val="center"/>
                </w:tcPr>
                <w:p w14:paraId="19EDBBC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项目名称</w:t>
                  </w:r>
                </w:p>
              </w:tc>
              <w:tc>
                <w:tcPr>
                  <w:tcW w:w="5038" w:type="dxa"/>
                  <w:tcBorders>
                    <w:tl2br w:val="nil"/>
                    <w:tr2bl w:val="nil"/>
                  </w:tcBorders>
                  <w:noWrap w:val="0"/>
                  <w:vAlign w:val="center"/>
                </w:tcPr>
                <w:p w14:paraId="41BB9F8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建设规模</w:t>
                  </w:r>
                </w:p>
              </w:tc>
            </w:tr>
            <w:tr w14:paraId="7EF7A1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536" w:type="dxa"/>
                  <w:tcBorders>
                    <w:tl2br w:val="nil"/>
                    <w:tr2bl w:val="nil"/>
                  </w:tcBorders>
                  <w:noWrap w:val="0"/>
                  <w:vAlign w:val="center"/>
                </w:tcPr>
                <w:p w14:paraId="134DAD9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主体工程</w:t>
                  </w:r>
                </w:p>
              </w:tc>
              <w:tc>
                <w:tcPr>
                  <w:tcW w:w="596" w:type="dxa"/>
                  <w:tcBorders>
                    <w:tl2br w:val="nil"/>
                    <w:tr2bl w:val="nil"/>
                  </w:tcBorders>
                  <w:noWrap w:val="0"/>
                  <w:vAlign w:val="center"/>
                </w:tcPr>
                <w:p w14:paraId="1AA3166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937" w:type="dxa"/>
                  <w:gridSpan w:val="2"/>
                  <w:tcBorders>
                    <w:tl2br w:val="nil"/>
                    <w:tr2bl w:val="nil"/>
                  </w:tcBorders>
                  <w:noWrap w:val="0"/>
                  <w:vAlign w:val="center"/>
                </w:tcPr>
                <w:p w14:paraId="76417921">
                  <w:pPr>
                    <w:keepNext w:val="0"/>
                    <w:keepLines w:val="0"/>
                    <w:suppressLineNumbers w:val="0"/>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生产车间</w:t>
                  </w:r>
                </w:p>
              </w:tc>
              <w:tc>
                <w:tcPr>
                  <w:tcW w:w="5038" w:type="dxa"/>
                  <w:tcBorders>
                    <w:tl2br w:val="nil"/>
                    <w:tr2bl w:val="nil"/>
                  </w:tcBorders>
                  <w:noWrap w:val="0"/>
                  <w:vAlign w:val="center"/>
                </w:tcPr>
                <w:p w14:paraId="08A96A38">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s="Times New Roman"/>
                      <w:color w:val="000000"/>
                      <w:kern w:val="2"/>
                      <w:sz w:val="21"/>
                      <w:szCs w:val="21"/>
                      <w:vertAlign w:val="baseline"/>
                      <w:lang w:val="en-US" w:eastAsia="zh-CN" w:bidi="ar-SA"/>
                    </w:rPr>
                    <w:t>3层，建筑面积18000m</w:t>
                  </w:r>
                  <w:r>
                    <w:rPr>
                      <w:rFonts w:hint="eastAsia" w:cs="Times New Roman"/>
                      <w:color w:val="000000"/>
                      <w:kern w:val="2"/>
                      <w:sz w:val="21"/>
                      <w:szCs w:val="21"/>
                      <w:vertAlign w:val="superscript"/>
                      <w:lang w:val="en-US" w:eastAsia="zh-CN" w:bidi="ar-SA"/>
                    </w:rPr>
                    <w:t>2</w:t>
                  </w:r>
                  <w:r>
                    <w:rPr>
                      <w:rFonts w:hint="eastAsia" w:cs="Times New Roman"/>
                      <w:color w:val="000000"/>
                      <w:kern w:val="2"/>
                      <w:sz w:val="21"/>
                      <w:szCs w:val="21"/>
                      <w:vertAlign w:val="baseline"/>
                      <w:lang w:val="en-US" w:eastAsia="zh-CN" w:bidi="ar-SA"/>
                    </w:rPr>
                    <w:t>，包括生产车间和仓库</w:t>
                  </w:r>
                </w:p>
              </w:tc>
            </w:tr>
            <w:tr w14:paraId="5265F4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67" w:hRule="atLeast"/>
                <w:jc w:val="center"/>
              </w:trPr>
              <w:tc>
                <w:tcPr>
                  <w:tcW w:w="536" w:type="dxa"/>
                  <w:vMerge w:val="restart"/>
                  <w:tcBorders>
                    <w:tl2br w:val="nil"/>
                    <w:tr2bl w:val="nil"/>
                  </w:tcBorders>
                  <w:noWrap w:val="0"/>
                  <w:vAlign w:val="center"/>
                </w:tcPr>
                <w:p w14:paraId="38B4243C">
                  <w:pPr>
                    <w:keepNext w:val="0"/>
                    <w:keepLines w:val="0"/>
                    <w:suppressLineNumbers w:val="0"/>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配套工程</w:t>
                  </w:r>
                </w:p>
              </w:tc>
              <w:tc>
                <w:tcPr>
                  <w:tcW w:w="596" w:type="dxa"/>
                  <w:vMerge w:val="restart"/>
                  <w:tcBorders>
                    <w:tl2br w:val="nil"/>
                    <w:tr2bl w:val="nil"/>
                  </w:tcBorders>
                  <w:noWrap w:val="0"/>
                  <w:vAlign w:val="center"/>
                </w:tcPr>
                <w:p w14:paraId="43A664AA">
                  <w:pPr>
                    <w:keepNext w:val="0"/>
                    <w:keepLines w:val="0"/>
                    <w:suppressLineNumbers w:val="0"/>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2</w:t>
                  </w:r>
                </w:p>
              </w:tc>
              <w:tc>
                <w:tcPr>
                  <w:tcW w:w="1937" w:type="dxa"/>
                  <w:gridSpan w:val="2"/>
                  <w:tcBorders>
                    <w:tl2br w:val="nil"/>
                    <w:tr2bl w:val="nil"/>
                  </w:tcBorders>
                  <w:noWrap w:val="0"/>
                  <w:vAlign w:val="center"/>
                </w:tcPr>
                <w:p w14:paraId="75336AC8">
                  <w:pPr>
                    <w:keepNext w:val="0"/>
                    <w:keepLines w:val="0"/>
                    <w:suppressLineNumbers w:val="0"/>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办公楼</w:t>
                  </w:r>
                </w:p>
              </w:tc>
              <w:tc>
                <w:tcPr>
                  <w:tcW w:w="5038" w:type="dxa"/>
                  <w:tcBorders>
                    <w:tl2br w:val="nil"/>
                    <w:tr2bl w:val="nil"/>
                  </w:tcBorders>
                  <w:noWrap w:val="0"/>
                  <w:vAlign w:val="center"/>
                </w:tcPr>
                <w:p w14:paraId="2F0FC4F1">
                  <w:pPr>
                    <w:keepNext w:val="0"/>
                    <w:keepLines w:val="0"/>
                    <w:suppressLineNumbers w:val="0"/>
                    <w:spacing w:before="0" w:beforeAutospacing="0" w:after="0" w:afterAutospacing="0" w:line="240" w:lineRule="auto"/>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建筑面积为2700m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，位于生产车间南侧</w:t>
                  </w:r>
                </w:p>
              </w:tc>
            </w:tr>
            <w:tr w14:paraId="1AB78D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67" w:hRule="atLeast"/>
                <w:jc w:val="center"/>
              </w:trPr>
              <w:tc>
                <w:tcPr>
                  <w:tcW w:w="536" w:type="dxa"/>
                  <w:vMerge w:val="continue"/>
                  <w:tcBorders>
                    <w:tl2br w:val="nil"/>
                    <w:tr2bl w:val="nil"/>
                  </w:tcBorders>
                  <w:noWrap w:val="0"/>
                  <w:vAlign w:val="center"/>
                </w:tcPr>
                <w:p w14:paraId="6D8D9EA7">
                  <w:pPr>
                    <w:keepNext w:val="0"/>
                    <w:keepLines w:val="0"/>
                    <w:suppressLineNumbers w:val="0"/>
                    <w:spacing w:before="0" w:beforeAutospacing="0" w:after="0" w:afterAutospacing="0" w:line="240" w:lineRule="auto"/>
                    <w:ind w:left="0" w:leftChars="0" w:right="0" w:rightChars="0"/>
                    <w:jc w:val="center"/>
                    <w:rPr>
                      <w:rFonts w:hint="default"/>
                    </w:rPr>
                  </w:pPr>
                </w:p>
              </w:tc>
              <w:tc>
                <w:tcPr>
                  <w:tcW w:w="596" w:type="dxa"/>
                  <w:vMerge w:val="continue"/>
                  <w:tcBorders>
                    <w:tl2br w:val="nil"/>
                    <w:tr2bl w:val="nil"/>
                  </w:tcBorders>
                  <w:noWrap w:val="0"/>
                  <w:vAlign w:val="center"/>
                </w:tcPr>
                <w:p w14:paraId="65233179">
                  <w:pPr>
                    <w:keepNext w:val="0"/>
                    <w:keepLines w:val="0"/>
                    <w:suppressLineNumbers w:val="0"/>
                    <w:spacing w:before="0" w:beforeAutospacing="0" w:after="0" w:afterAutospacing="0" w:line="240" w:lineRule="auto"/>
                    <w:ind w:left="0" w:leftChars="0" w:right="0" w:rightChars="0"/>
                    <w:jc w:val="center"/>
                    <w:rPr>
                      <w:rFonts w:hint="default"/>
                    </w:rPr>
                  </w:pPr>
                </w:p>
              </w:tc>
              <w:tc>
                <w:tcPr>
                  <w:tcW w:w="1937" w:type="dxa"/>
                  <w:gridSpan w:val="2"/>
                  <w:tcBorders>
                    <w:tl2br w:val="nil"/>
                    <w:tr2bl w:val="nil"/>
                  </w:tcBorders>
                  <w:noWrap w:val="0"/>
                  <w:vAlign w:val="center"/>
                </w:tcPr>
                <w:p w14:paraId="163E55A5">
                  <w:pPr>
                    <w:keepNext w:val="0"/>
                    <w:keepLines w:val="0"/>
                    <w:suppressLineNumbers w:val="0"/>
                    <w:spacing w:before="0" w:beforeAutospacing="0" w:after="0" w:afterAutospacing="0" w:line="240" w:lineRule="auto"/>
                    <w:ind w:left="0" w:leftChars="0" w:right="0" w:rightChars="0"/>
                    <w:jc w:val="center"/>
                    <w:rPr>
                      <w:rFonts w:hint="eastAsia" w:cs="Times New Roman"/>
                      <w:color w:val="000000"/>
                      <w:sz w:val="21"/>
                      <w:szCs w:val="21"/>
                      <w:lang w:val="en-US" w:eastAsia="zh-CN"/>
                    </w:rPr>
                  </w:pPr>
                  <w:r>
                    <w:rPr>
                      <w:rFonts w:hint="eastAsia" w:cs="Times New Roman"/>
                      <w:color w:val="000000"/>
                      <w:sz w:val="21"/>
                      <w:szCs w:val="21"/>
                      <w:lang w:val="en-US" w:eastAsia="zh-CN"/>
                    </w:rPr>
                    <w:t>宿舍楼</w:t>
                  </w:r>
                </w:p>
              </w:tc>
              <w:tc>
                <w:tcPr>
                  <w:tcW w:w="5038" w:type="dxa"/>
                  <w:tcBorders>
                    <w:tl2br w:val="nil"/>
                    <w:tr2bl w:val="nil"/>
                  </w:tcBorders>
                  <w:noWrap w:val="0"/>
                  <w:vAlign w:val="center"/>
                </w:tcPr>
                <w:p w14:paraId="6148EF4A">
                  <w:pPr>
                    <w:keepNext w:val="0"/>
                    <w:keepLines w:val="0"/>
                    <w:suppressLineNumbers w:val="0"/>
                    <w:spacing w:before="0" w:beforeAutospacing="0" w:after="0" w:afterAutospacing="0" w:line="240" w:lineRule="auto"/>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建筑面积为4200m</w:t>
                  </w:r>
                  <w:r>
                    <w:rPr>
                      <w:rFonts w:hint="eastAsia" w:cs="Times New Roman"/>
                      <w:color w:val="auto"/>
                      <w:sz w:val="21"/>
                      <w:szCs w:val="21"/>
                      <w:vertAlign w:val="superscript"/>
                      <w:lang w:val="en-US" w:eastAsia="zh-CN"/>
                    </w:rPr>
                    <w:t>2</w:t>
                  </w:r>
                  <w:r>
                    <w:rPr>
                      <w:rFonts w:hint="eastAsia" w:cs="Times New Roman"/>
                      <w:color w:val="auto"/>
                      <w:sz w:val="21"/>
                      <w:szCs w:val="21"/>
                      <w:lang w:val="en-US" w:eastAsia="zh-CN"/>
                    </w:rPr>
                    <w:t>，位于生产车间南侧</w:t>
                  </w:r>
                </w:p>
              </w:tc>
            </w:tr>
            <w:tr w14:paraId="165CBE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6" w:type="dxa"/>
                  <w:vMerge w:val="restart"/>
                  <w:tcBorders>
                    <w:tl2br w:val="nil"/>
                    <w:tr2bl w:val="nil"/>
                  </w:tcBorders>
                  <w:noWrap w:val="0"/>
                  <w:vAlign w:val="center"/>
                </w:tcPr>
                <w:p w14:paraId="13480ACD">
                  <w:pPr>
                    <w:keepNext w:val="0"/>
                    <w:keepLines w:val="0"/>
                    <w:widowControl/>
                    <w:suppressLineNumbers w:val="0"/>
                    <w:tabs>
                      <w:tab w:val="left" w:pos="5088"/>
                    </w:tabs>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公用工程</w:t>
                  </w:r>
                </w:p>
              </w:tc>
              <w:tc>
                <w:tcPr>
                  <w:tcW w:w="596" w:type="dxa"/>
                  <w:tcBorders>
                    <w:tl2br w:val="nil"/>
                    <w:tr2bl w:val="nil"/>
                  </w:tcBorders>
                  <w:noWrap w:val="0"/>
                  <w:vAlign w:val="center"/>
                </w:tcPr>
                <w:p w14:paraId="706DA8D0">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3</w:t>
                  </w:r>
                </w:p>
              </w:tc>
              <w:tc>
                <w:tcPr>
                  <w:tcW w:w="1937" w:type="dxa"/>
                  <w:gridSpan w:val="2"/>
                  <w:tcBorders>
                    <w:tl2br w:val="nil"/>
                    <w:tr2bl w:val="nil"/>
                  </w:tcBorders>
                  <w:noWrap w:val="0"/>
                  <w:vAlign w:val="center"/>
                </w:tcPr>
                <w:p w14:paraId="50871F4F">
                  <w:pPr>
                    <w:keepNext w:val="0"/>
                    <w:keepLines w:val="0"/>
                    <w:widowControl/>
                    <w:suppressLineNumbers w:val="0"/>
                    <w:tabs>
                      <w:tab w:val="left" w:pos="5088"/>
                    </w:tabs>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供水</w:t>
                  </w:r>
                </w:p>
              </w:tc>
              <w:tc>
                <w:tcPr>
                  <w:tcW w:w="5038" w:type="dxa"/>
                  <w:tcBorders>
                    <w:tl2br w:val="nil"/>
                    <w:tr2bl w:val="nil"/>
                  </w:tcBorders>
                  <w:noWrap w:val="0"/>
                  <w:vAlign w:val="center"/>
                </w:tcPr>
                <w:p w14:paraId="0BDED48A">
                  <w:pPr>
                    <w:keepNext w:val="0"/>
                    <w:keepLines w:val="0"/>
                    <w:widowControl/>
                    <w:suppressLineNumbers w:val="0"/>
                    <w:tabs>
                      <w:tab w:val="left" w:pos="5088"/>
                    </w:tabs>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市政管网统一供给</w:t>
                  </w:r>
                </w:p>
              </w:tc>
            </w:tr>
            <w:tr w14:paraId="0B60D1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16" w:hRule="atLeast"/>
                <w:jc w:val="center"/>
              </w:trPr>
              <w:tc>
                <w:tcPr>
                  <w:tcW w:w="536" w:type="dxa"/>
                  <w:vMerge w:val="continue"/>
                  <w:tcBorders>
                    <w:tl2br w:val="nil"/>
                    <w:tr2bl w:val="nil"/>
                  </w:tcBorders>
                  <w:noWrap w:val="0"/>
                  <w:vAlign w:val="center"/>
                </w:tcPr>
                <w:p w14:paraId="03424443">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p>
              </w:tc>
              <w:tc>
                <w:tcPr>
                  <w:tcW w:w="596" w:type="dxa"/>
                  <w:tcBorders>
                    <w:tl2br w:val="nil"/>
                    <w:tr2bl w:val="nil"/>
                  </w:tcBorders>
                  <w:noWrap w:val="0"/>
                  <w:vAlign w:val="center"/>
                </w:tcPr>
                <w:p w14:paraId="577BE7C0">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4</w:t>
                  </w:r>
                </w:p>
              </w:tc>
              <w:tc>
                <w:tcPr>
                  <w:tcW w:w="1937" w:type="dxa"/>
                  <w:gridSpan w:val="2"/>
                  <w:tcBorders>
                    <w:tl2br w:val="nil"/>
                    <w:tr2bl w:val="nil"/>
                  </w:tcBorders>
                  <w:noWrap w:val="0"/>
                  <w:vAlign w:val="center"/>
                </w:tcPr>
                <w:p w14:paraId="48705BAA">
                  <w:pPr>
                    <w:keepNext w:val="0"/>
                    <w:keepLines w:val="0"/>
                    <w:widowControl/>
                    <w:suppressLineNumbers w:val="0"/>
                    <w:tabs>
                      <w:tab w:val="left" w:pos="5088"/>
                    </w:tabs>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供电</w:t>
                  </w:r>
                </w:p>
              </w:tc>
              <w:tc>
                <w:tcPr>
                  <w:tcW w:w="5038" w:type="dxa"/>
                  <w:tcBorders>
                    <w:tl2br w:val="nil"/>
                    <w:tr2bl w:val="nil"/>
                  </w:tcBorders>
                  <w:noWrap w:val="0"/>
                  <w:vAlign w:val="center"/>
                </w:tcPr>
                <w:p w14:paraId="3A377E7D">
                  <w:pPr>
                    <w:keepNext w:val="0"/>
                    <w:keepLines w:val="0"/>
                    <w:widowControl/>
                    <w:suppressLineNumbers w:val="0"/>
                    <w:tabs>
                      <w:tab w:val="left" w:pos="5088"/>
                    </w:tabs>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市政供电系统统一供给</w:t>
                  </w:r>
                </w:p>
              </w:tc>
            </w:tr>
            <w:tr w14:paraId="28511C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6" w:type="dxa"/>
                  <w:vMerge w:val="continue"/>
                  <w:tcBorders>
                    <w:tl2br w:val="nil"/>
                    <w:tr2bl w:val="nil"/>
                  </w:tcBorders>
                  <w:noWrap w:val="0"/>
                  <w:vAlign w:val="center"/>
                </w:tcPr>
                <w:p w14:paraId="65E438CE">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p>
              </w:tc>
              <w:tc>
                <w:tcPr>
                  <w:tcW w:w="596" w:type="dxa"/>
                  <w:tcBorders>
                    <w:tl2br w:val="nil"/>
                    <w:tr2bl w:val="nil"/>
                  </w:tcBorders>
                  <w:noWrap w:val="0"/>
                  <w:vAlign w:val="center"/>
                </w:tcPr>
                <w:p w14:paraId="1C4B0667">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5</w:t>
                  </w:r>
                </w:p>
              </w:tc>
              <w:tc>
                <w:tcPr>
                  <w:tcW w:w="1937" w:type="dxa"/>
                  <w:gridSpan w:val="2"/>
                  <w:tcBorders>
                    <w:tl2br w:val="nil"/>
                    <w:tr2bl w:val="nil"/>
                  </w:tcBorders>
                  <w:noWrap w:val="0"/>
                  <w:vAlign w:val="center"/>
                </w:tcPr>
                <w:p w14:paraId="5C09B019">
                  <w:pPr>
                    <w:keepNext w:val="0"/>
                    <w:keepLines w:val="0"/>
                    <w:widowControl/>
                    <w:suppressLineNumbers w:val="0"/>
                    <w:tabs>
                      <w:tab w:val="left" w:pos="5088"/>
                    </w:tabs>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排水</w:t>
                  </w:r>
                </w:p>
              </w:tc>
              <w:tc>
                <w:tcPr>
                  <w:tcW w:w="5038" w:type="dxa"/>
                  <w:tcBorders>
                    <w:tl2br w:val="nil"/>
                    <w:tr2bl w:val="nil"/>
                  </w:tcBorders>
                  <w:noWrap w:val="0"/>
                  <w:vAlign w:val="center"/>
                </w:tcPr>
                <w:p w14:paraId="5AFE303A">
                  <w:pPr>
                    <w:keepNext w:val="0"/>
                    <w:keepLines w:val="0"/>
                    <w:widowControl/>
                    <w:suppressLineNumbers w:val="0"/>
                    <w:tabs>
                      <w:tab w:val="left" w:pos="5088"/>
                    </w:tabs>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雨污分流依托市政管网，纳入</w:t>
                  </w:r>
                  <w:r>
                    <w:rPr>
                      <w:rFonts w:hint="eastAsia" w:cs="Times New Roman"/>
                      <w:color w:val="000000"/>
                      <w:kern w:val="0"/>
                      <w:sz w:val="21"/>
                      <w:szCs w:val="21"/>
                      <w:lang w:val="en-US" w:eastAsia="zh-CN" w:bidi="ar"/>
                    </w:rPr>
                    <w:t>惠西</w:t>
                  </w:r>
                  <w:r>
                    <w:rPr>
                      <w:rFonts w:hint="default" w:ascii="Times New Roman" w:hAnsi="Times New Roman" w:eastAsia="宋体" w:cs="Times New Roman"/>
                      <w:color w:val="000000"/>
                      <w:kern w:val="0"/>
                      <w:sz w:val="21"/>
                      <w:szCs w:val="21"/>
                      <w:lang w:bidi="ar"/>
                    </w:rPr>
                    <w:t>污水处理厂</w:t>
                  </w:r>
                </w:p>
              </w:tc>
            </w:tr>
            <w:tr w14:paraId="454324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67" w:hRule="atLeast"/>
                <w:jc w:val="center"/>
              </w:trPr>
              <w:tc>
                <w:tcPr>
                  <w:tcW w:w="536" w:type="dxa"/>
                  <w:vMerge w:val="restart"/>
                  <w:tcBorders>
                    <w:tl2br w:val="nil"/>
                    <w:tr2bl w:val="nil"/>
                  </w:tcBorders>
                  <w:noWrap w:val="0"/>
                  <w:vAlign w:val="center"/>
                </w:tcPr>
                <w:p w14:paraId="53FED06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环保工程</w:t>
                  </w:r>
                </w:p>
              </w:tc>
              <w:tc>
                <w:tcPr>
                  <w:tcW w:w="596" w:type="dxa"/>
                  <w:tcBorders>
                    <w:tl2br w:val="nil"/>
                    <w:tr2bl w:val="nil"/>
                  </w:tcBorders>
                  <w:noWrap w:val="0"/>
                  <w:vAlign w:val="center"/>
                </w:tcPr>
                <w:p w14:paraId="5EC09F65">
                  <w:pPr>
                    <w:keepNext w:val="0"/>
                    <w:keepLines w:val="0"/>
                    <w:suppressLineNumbers w:val="0"/>
                    <w:spacing w:before="0" w:beforeAutospacing="0" w:after="0" w:afterAutospacing="0" w:line="240" w:lineRule="auto"/>
                    <w:ind w:left="0" w:leftChars="0" w:right="0" w:rightChars="0"/>
                    <w:jc w:val="center"/>
                    <w:rPr>
                      <w:rFonts w:hint="default" w:cs="Times New Roman"/>
                      <w:color w:val="000000"/>
                      <w:sz w:val="21"/>
                      <w:szCs w:val="21"/>
                      <w:lang w:val="en-US" w:eastAsia="zh-CN"/>
                    </w:rPr>
                  </w:pPr>
                  <w:r>
                    <w:rPr>
                      <w:rFonts w:hint="eastAsia" w:cs="Times New Roman"/>
                      <w:color w:val="000000"/>
                      <w:sz w:val="21"/>
                      <w:szCs w:val="21"/>
                      <w:lang w:val="en-US" w:eastAsia="zh-CN"/>
                    </w:rPr>
                    <w:t>6</w:t>
                  </w:r>
                </w:p>
              </w:tc>
              <w:tc>
                <w:tcPr>
                  <w:tcW w:w="799" w:type="dxa"/>
                  <w:tcBorders>
                    <w:tl2br w:val="nil"/>
                    <w:tr2bl w:val="nil"/>
                  </w:tcBorders>
                  <w:noWrap w:val="0"/>
                  <w:vAlign w:val="center"/>
                </w:tcPr>
                <w:p w14:paraId="1AB878C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废水处理设施</w:t>
                  </w:r>
                </w:p>
              </w:tc>
              <w:tc>
                <w:tcPr>
                  <w:tcW w:w="1138" w:type="dxa"/>
                  <w:tcBorders>
                    <w:tl2br w:val="nil"/>
                    <w:tr2bl w:val="nil"/>
                  </w:tcBorders>
                  <w:noWrap w:val="0"/>
                  <w:vAlign w:val="center"/>
                </w:tcPr>
                <w:p w14:paraId="4DA4619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cs="Times New Roman"/>
                      <w:color w:val="000000"/>
                      <w:sz w:val="21"/>
                      <w:szCs w:val="21"/>
                      <w:lang w:eastAsia="zh-CN"/>
                    </w:rPr>
                    <w:t>生活污水</w:t>
                  </w:r>
                </w:p>
              </w:tc>
              <w:tc>
                <w:tcPr>
                  <w:tcW w:w="5038" w:type="dxa"/>
                  <w:tcBorders>
                    <w:tl2br w:val="nil"/>
                    <w:tr2bl w:val="nil"/>
                  </w:tcBorders>
                  <w:noWrap w:val="0"/>
                  <w:vAlign w:val="center"/>
                </w:tcPr>
                <w:p w14:paraId="371328F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auto"/>
                      <w:sz w:val="21"/>
                      <w:szCs w:val="21"/>
                    </w:rPr>
                    <w:t>化粪池</w:t>
                  </w:r>
                </w:p>
              </w:tc>
            </w:tr>
            <w:tr w14:paraId="511764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536" w:type="dxa"/>
                  <w:vMerge w:val="continue"/>
                  <w:tcBorders>
                    <w:tl2br w:val="nil"/>
                    <w:tr2bl w:val="nil"/>
                  </w:tcBorders>
                  <w:noWrap w:val="0"/>
                  <w:vAlign w:val="center"/>
                </w:tcPr>
                <w:p w14:paraId="4ABBF47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p>
              </w:tc>
              <w:tc>
                <w:tcPr>
                  <w:tcW w:w="596" w:type="dxa"/>
                  <w:tcBorders>
                    <w:tl2br w:val="nil"/>
                    <w:tr2bl w:val="nil"/>
                  </w:tcBorders>
                  <w:noWrap w:val="0"/>
                  <w:vAlign w:val="center"/>
                </w:tcPr>
                <w:p w14:paraId="019F9A0A">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7</w:t>
                  </w:r>
                </w:p>
              </w:tc>
              <w:tc>
                <w:tcPr>
                  <w:tcW w:w="1937" w:type="dxa"/>
                  <w:gridSpan w:val="2"/>
                  <w:tcBorders>
                    <w:tl2br w:val="nil"/>
                    <w:tr2bl w:val="nil"/>
                  </w:tcBorders>
                  <w:noWrap w:val="0"/>
                  <w:vAlign w:val="center"/>
                </w:tcPr>
                <w:p w14:paraId="015DEF0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sz w:val="21"/>
                      <w:szCs w:val="21"/>
                    </w:rPr>
                    <w:t>噪声处理设施</w:t>
                  </w:r>
                </w:p>
              </w:tc>
              <w:tc>
                <w:tcPr>
                  <w:tcW w:w="5038" w:type="dxa"/>
                  <w:tcBorders>
                    <w:tl2br w:val="nil"/>
                    <w:tr2bl w:val="nil"/>
                  </w:tcBorders>
                  <w:noWrap w:val="0"/>
                  <w:vAlign w:val="center"/>
                </w:tcPr>
                <w:p w14:paraId="4D14A94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000000"/>
                      <w:kern w:val="0"/>
                      <w:sz w:val="21"/>
                      <w:szCs w:val="21"/>
                      <w:lang w:eastAsia="zh-CN" w:bidi="ar"/>
                    </w:rPr>
                  </w:pPr>
                  <w:r>
                    <w:rPr>
                      <w:rFonts w:hint="default" w:ascii="Times New Roman" w:hAnsi="Times New Roman" w:eastAsia="宋体" w:cs="Times New Roman"/>
                      <w:color w:val="000000"/>
                      <w:sz w:val="21"/>
                      <w:szCs w:val="21"/>
                    </w:rPr>
                    <w:t>减震、降噪、</w:t>
                  </w:r>
                  <w:r>
                    <w:rPr>
                      <w:rFonts w:hint="eastAsia" w:cs="Times New Roman"/>
                      <w:color w:val="000000"/>
                      <w:sz w:val="21"/>
                      <w:szCs w:val="21"/>
                      <w:lang w:val="en-US" w:eastAsia="zh-CN"/>
                    </w:rPr>
                    <w:t>隔声</w:t>
                  </w:r>
                </w:p>
              </w:tc>
            </w:tr>
            <w:tr w14:paraId="171C33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6" w:type="dxa"/>
                  <w:vMerge w:val="continue"/>
                  <w:tcBorders>
                    <w:tl2br w:val="nil"/>
                    <w:tr2bl w:val="nil"/>
                  </w:tcBorders>
                  <w:noWrap w:val="0"/>
                  <w:vAlign w:val="center"/>
                </w:tcPr>
                <w:p w14:paraId="5FCEA45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p>
              </w:tc>
              <w:tc>
                <w:tcPr>
                  <w:tcW w:w="596" w:type="dxa"/>
                  <w:tcBorders>
                    <w:tl2br w:val="nil"/>
                    <w:tr2bl w:val="nil"/>
                  </w:tcBorders>
                  <w:noWrap w:val="0"/>
                  <w:vAlign w:val="center"/>
                </w:tcPr>
                <w:p w14:paraId="0625A745">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8</w:t>
                  </w:r>
                </w:p>
              </w:tc>
              <w:tc>
                <w:tcPr>
                  <w:tcW w:w="1937" w:type="dxa"/>
                  <w:gridSpan w:val="2"/>
                  <w:tcBorders>
                    <w:tl2br w:val="nil"/>
                    <w:tr2bl w:val="nil"/>
                  </w:tcBorders>
                  <w:noWrap w:val="0"/>
                  <w:vAlign w:val="center"/>
                </w:tcPr>
                <w:p w14:paraId="51298A0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sz w:val="21"/>
                      <w:szCs w:val="21"/>
                    </w:rPr>
                    <w:t>固废处理设施</w:t>
                  </w:r>
                </w:p>
              </w:tc>
              <w:tc>
                <w:tcPr>
                  <w:tcW w:w="5038" w:type="dxa"/>
                  <w:tcBorders>
                    <w:tl2br w:val="nil"/>
                    <w:tr2bl w:val="nil"/>
                  </w:tcBorders>
                  <w:noWrap w:val="0"/>
                  <w:vAlign w:val="center"/>
                </w:tcPr>
                <w:p w14:paraId="3BD08A3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sz w:val="21"/>
                      <w:szCs w:val="21"/>
                    </w:rPr>
                    <w:t>垃圾筒</w:t>
                  </w:r>
                  <w:r>
                    <w:rPr>
                      <w:rFonts w:hint="eastAsia" w:cs="Times New Roman"/>
                      <w:color w:val="000000"/>
                      <w:sz w:val="21"/>
                      <w:szCs w:val="21"/>
                      <w:lang w:eastAsia="zh-CN"/>
                    </w:rPr>
                    <w:t>、</w:t>
                  </w:r>
                  <w:r>
                    <w:rPr>
                      <w:rFonts w:hint="eastAsia" w:cs="Times New Roman"/>
                      <w:color w:val="000000"/>
                      <w:sz w:val="21"/>
                      <w:szCs w:val="21"/>
                      <w:lang w:val="en-US" w:eastAsia="zh-CN"/>
                    </w:rPr>
                    <w:t>一般固废区</w:t>
                  </w:r>
                </w:p>
              </w:tc>
            </w:tr>
            <w:tr w14:paraId="2ED85E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04" w:hRule="atLeast"/>
                <w:jc w:val="center"/>
              </w:trPr>
              <w:tc>
                <w:tcPr>
                  <w:tcW w:w="536" w:type="dxa"/>
                  <w:vMerge w:val="continue"/>
                  <w:tcBorders>
                    <w:tl2br w:val="nil"/>
                    <w:tr2bl w:val="nil"/>
                  </w:tcBorders>
                  <w:noWrap w:val="0"/>
                  <w:vAlign w:val="center"/>
                </w:tcPr>
                <w:p w14:paraId="50BC3CB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rPr>
                  </w:pPr>
                </w:p>
              </w:tc>
              <w:tc>
                <w:tcPr>
                  <w:tcW w:w="596" w:type="dxa"/>
                  <w:vMerge w:val="restart"/>
                  <w:tcBorders>
                    <w:tl2br w:val="nil"/>
                    <w:tr2bl w:val="nil"/>
                  </w:tcBorders>
                  <w:noWrap w:val="0"/>
                  <w:vAlign w:val="center"/>
                </w:tcPr>
                <w:p w14:paraId="05A29552">
                  <w:pPr>
                    <w:keepNext w:val="0"/>
                    <w:keepLines w:val="0"/>
                    <w:suppressLineNumbers w:val="0"/>
                    <w:spacing w:before="0" w:beforeAutospacing="0" w:after="0" w:afterAutospacing="0" w:line="240" w:lineRule="auto"/>
                    <w:ind w:left="0" w:leftChars="0" w:right="0" w:rightChars="0"/>
                    <w:jc w:val="center"/>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9</w:t>
                  </w:r>
                </w:p>
              </w:tc>
              <w:tc>
                <w:tcPr>
                  <w:tcW w:w="1937" w:type="dxa"/>
                  <w:gridSpan w:val="2"/>
                  <w:vMerge w:val="restart"/>
                  <w:tcBorders>
                    <w:tl2br w:val="nil"/>
                    <w:tr2bl w:val="nil"/>
                  </w:tcBorders>
                  <w:noWrap w:val="0"/>
                  <w:vAlign w:val="center"/>
                </w:tcPr>
                <w:p w14:paraId="64729BCF">
                  <w:pPr>
                    <w:keepNext w:val="0"/>
                    <w:keepLines w:val="0"/>
                    <w:suppressLineNumbers w:val="0"/>
                    <w:spacing w:before="0" w:beforeAutospacing="0" w:after="0" w:afterAutospacing="0" w:line="240" w:lineRule="auto"/>
                    <w:ind w:left="0" w:right="0"/>
                    <w:jc w:val="center"/>
                    <w:rPr>
                      <w:rFonts w:hint="default" w:cs="Times New Roman"/>
                      <w:color w:val="auto"/>
                      <w:sz w:val="21"/>
                      <w:szCs w:val="21"/>
                      <w:lang w:val="en-US" w:eastAsia="zh-CN"/>
                    </w:rPr>
                  </w:pPr>
                  <w:r>
                    <w:rPr>
                      <w:rFonts w:hint="eastAsia" w:cs="Times New Roman"/>
                      <w:color w:val="000000"/>
                      <w:sz w:val="21"/>
                      <w:szCs w:val="21"/>
                      <w:lang w:val="en-US" w:eastAsia="zh-CN"/>
                    </w:rPr>
                    <w:t>废气处理设施</w:t>
                  </w:r>
                </w:p>
              </w:tc>
              <w:tc>
                <w:tcPr>
                  <w:tcW w:w="5038" w:type="dxa"/>
                  <w:tcBorders>
                    <w:tl2br w:val="nil"/>
                    <w:tr2bl w:val="nil"/>
                  </w:tcBorders>
                  <w:noWrap w:val="0"/>
                  <w:vAlign w:val="center"/>
                </w:tcPr>
                <w:p w14:paraId="6E361950">
                  <w:pPr>
                    <w:keepNext w:val="0"/>
                    <w:keepLines w:val="0"/>
                    <w:suppressLineNumbers w:val="0"/>
                    <w:spacing w:before="0" w:beforeAutospacing="0" w:after="0" w:afterAutospacing="0" w:line="240" w:lineRule="auto"/>
                    <w:ind w:left="0" w:right="0"/>
                    <w:jc w:val="center"/>
                    <w:rPr>
                      <w:rFonts w:hint="default"/>
                      <w:color w:val="auto"/>
                      <w:lang w:val="en-US" w:eastAsia="zh-CN"/>
                    </w:rPr>
                  </w:pPr>
                  <w:r>
                    <w:rPr>
                      <w:rFonts w:hint="eastAsia"/>
                      <w:bCs/>
                      <w:color w:val="auto"/>
                      <w:szCs w:val="21"/>
                      <w:lang w:val="en-US" w:eastAsia="zh-CN"/>
                    </w:rPr>
                    <w:t>脉冲布袋除尘器（TA001）+15m排气筒（DA001）</w:t>
                  </w:r>
                </w:p>
              </w:tc>
            </w:tr>
            <w:tr w14:paraId="77EB08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04" w:hRule="atLeast"/>
                <w:jc w:val="center"/>
              </w:trPr>
              <w:tc>
                <w:tcPr>
                  <w:tcW w:w="536" w:type="dxa"/>
                  <w:vMerge w:val="continue"/>
                  <w:tcBorders>
                    <w:tl2br w:val="nil"/>
                    <w:tr2bl w:val="nil"/>
                  </w:tcBorders>
                  <w:noWrap w:val="0"/>
                  <w:vAlign w:val="center"/>
                </w:tcPr>
                <w:p w14:paraId="06F2179A">
                  <w:pPr>
                    <w:keepNext w:val="0"/>
                    <w:keepLines w:val="0"/>
                    <w:suppressLineNumbers w:val="0"/>
                    <w:spacing w:before="0" w:beforeAutospacing="0" w:after="0" w:afterAutospacing="0" w:line="240" w:lineRule="auto"/>
                    <w:ind w:left="0" w:right="0"/>
                    <w:jc w:val="center"/>
                    <w:rPr>
                      <w:rFonts w:hint="default"/>
                    </w:rPr>
                  </w:pPr>
                </w:p>
              </w:tc>
              <w:tc>
                <w:tcPr>
                  <w:tcW w:w="596" w:type="dxa"/>
                  <w:vMerge w:val="continue"/>
                  <w:tcBorders>
                    <w:tl2br w:val="nil"/>
                    <w:tr2bl w:val="nil"/>
                  </w:tcBorders>
                  <w:noWrap w:val="0"/>
                  <w:vAlign w:val="center"/>
                </w:tcPr>
                <w:p w14:paraId="18FE4CAB">
                  <w:pPr>
                    <w:keepNext w:val="0"/>
                    <w:keepLines w:val="0"/>
                    <w:suppressLineNumbers w:val="0"/>
                    <w:spacing w:before="0" w:beforeAutospacing="0" w:after="0" w:afterAutospacing="0" w:line="240" w:lineRule="auto"/>
                    <w:ind w:left="0" w:right="0"/>
                    <w:jc w:val="center"/>
                    <w:rPr>
                      <w:rFonts w:hint="default"/>
                    </w:rPr>
                  </w:pPr>
                </w:p>
              </w:tc>
              <w:tc>
                <w:tcPr>
                  <w:tcW w:w="1937" w:type="dxa"/>
                  <w:gridSpan w:val="2"/>
                  <w:vMerge w:val="continue"/>
                  <w:tcBorders>
                    <w:tl2br w:val="nil"/>
                    <w:tr2bl w:val="nil"/>
                  </w:tcBorders>
                  <w:noWrap w:val="0"/>
                  <w:vAlign w:val="center"/>
                </w:tcPr>
                <w:p w14:paraId="78577850">
                  <w:pPr>
                    <w:keepNext w:val="0"/>
                    <w:keepLines w:val="0"/>
                    <w:suppressLineNumbers w:val="0"/>
                    <w:spacing w:before="0" w:beforeAutospacing="0" w:after="0" w:afterAutospacing="0" w:line="240" w:lineRule="auto"/>
                    <w:ind w:left="0" w:right="0"/>
                    <w:jc w:val="center"/>
                    <w:rPr>
                      <w:rFonts w:hint="default"/>
                    </w:rPr>
                  </w:pPr>
                </w:p>
              </w:tc>
              <w:tc>
                <w:tcPr>
                  <w:tcW w:w="5038" w:type="dxa"/>
                  <w:tcBorders>
                    <w:tl2br w:val="nil"/>
                    <w:tr2bl w:val="nil"/>
                  </w:tcBorders>
                  <w:noWrap w:val="0"/>
                  <w:vAlign w:val="center"/>
                </w:tcPr>
                <w:p w14:paraId="5119120C">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r>
                    <w:rPr>
                      <w:rFonts w:hint="eastAsia"/>
                      <w:bCs/>
                      <w:color w:val="auto"/>
                      <w:szCs w:val="21"/>
                      <w:lang w:val="en-US" w:eastAsia="zh-CN"/>
                    </w:rPr>
                    <w:t>脉冲布袋除尘器（TA002）+15m排气筒（DA002）</w:t>
                  </w:r>
                </w:p>
              </w:tc>
            </w:tr>
            <w:tr w14:paraId="1AC44E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04" w:hRule="atLeast"/>
                <w:jc w:val="center"/>
              </w:trPr>
              <w:tc>
                <w:tcPr>
                  <w:tcW w:w="536" w:type="dxa"/>
                  <w:vMerge w:val="continue"/>
                  <w:tcBorders>
                    <w:tl2br w:val="nil"/>
                    <w:tr2bl w:val="nil"/>
                  </w:tcBorders>
                  <w:noWrap w:val="0"/>
                  <w:vAlign w:val="center"/>
                </w:tcPr>
                <w:p w14:paraId="2FC5DAC4">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p>
              </w:tc>
              <w:tc>
                <w:tcPr>
                  <w:tcW w:w="596" w:type="dxa"/>
                  <w:vMerge w:val="continue"/>
                  <w:tcBorders>
                    <w:tl2br w:val="nil"/>
                    <w:tr2bl w:val="nil"/>
                  </w:tcBorders>
                  <w:noWrap w:val="0"/>
                  <w:vAlign w:val="center"/>
                </w:tcPr>
                <w:p w14:paraId="73767379">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p>
              </w:tc>
              <w:tc>
                <w:tcPr>
                  <w:tcW w:w="1937" w:type="dxa"/>
                  <w:gridSpan w:val="2"/>
                  <w:vMerge w:val="continue"/>
                  <w:tcBorders>
                    <w:tl2br w:val="nil"/>
                    <w:tr2bl w:val="nil"/>
                  </w:tcBorders>
                  <w:noWrap w:val="0"/>
                  <w:vAlign w:val="center"/>
                </w:tcPr>
                <w:p w14:paraId="787AF961">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p>
              </w:tc>
              <w:tc>
                <w:tcPr>
                  <w:tcW w:w="5038" w:type="dxa"/>
                  <w:tcBorders>
                    <w:tl2br w:val="nil"/>
                    <w:tr2bl w:val="nil"/>
                  </w:tcBorders>
                  <w:noWrap w:val="0"/>
                  <w:vAlign w:val="center"/>
                </w:tcPr>
                <w:p w14:paraId="36E568DD">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r>
                    <w:rPr>
                      <w:rFonts w:hint="eastAsia"/>
                      <w:bCs/>
                      <w:color w:val="auto"/>
                      <w:szCs w:val="21"/>
                      <w:lang w:val="en-US" w:eastAsia="zh-CN"/>
                    </w:rPr>
                    <w:t>脉冲布袋除尘器（TA003）+15m排气筒（DA003）</w:t>
                  </w:r>
                </w:p>
              </w:tc>
            </w:tr>
            <w:tr w14:paraId="626C90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04" w:hRule="atLeast"/>
                <w:jc w:val="center"/>
              </w:trPr>
              <w:tc>
                <w:tcPr>
                  <w:tcW w:w="536" w:type="dxa"/>
                  <w:vMerge w:val="continue"/>
                  <w:tcBorders>
                    <w:tl2br w:val="nil"/>
                    <w:tr2bl w:val="nil"/>
                  </w:tcBorders>
                  <w:noWrap w:val="0"/>
                  <w:vAlign w:val="center"/>
                </w:tcPr>
                <w:p w14:paraId="022A6A36">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p>
              </w:tc>
              <w:tc>
                <w:tcPr>
                  <w:tcW w:w="596" w:type="dxa"/>
                  <w:vMerge w:val="continue"/>
                  <w:tcBorders>
                    <w:tl2br w:val="nil"/>
                    <w:tr2bl w:val="nil"/>
                  </w:tcBorders>
                  <w:noWrap w:val="0"/>
                  <w:vAlign w:val="center"/>
                </w:tcPr>
                <w:p w14:paraId="4B259F66">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p>
              </w:tc>
              <w:tc>
                <w:tcPr>
                  <w:tcW w:w="1937" w:type="dxa"/>
                  <w:gridSpan w:val="2"/>
                  <w:vMerge w:val="continue"/>
                  <w:tcBorders>
                    <w:tl2br w:val="nil"/>
                    <w:tr2bl w:val="nil"/>
                  </w:tcBorders>
                  <w:noWrap w:val="0"/>
                  <w:vAlign w:val="center"/>
                </w:tcPr>
                <w:p w14:paraId="79C65CE7">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p>
              </w:tc>
              <w:tc>
                <w:tcPr>
                  <w:tcW w:w="5038" w:type="dxa"/>
                  <w:tcBorders>
                    <w:tl2br w:val="nil"/>
                    <w:tr2bl w:val="nil"/>
                  </w:tcBorders>
                  <w:noWrap w:val="0"/>
                  <w:vAlign w:val="center"/>
                </w:tcPr>
                <w:p w14:paraId="4B8FC157">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r>
                    <w:rPr>
                      <w:rFonts w:hint="eastAsia"/>
                      <w:bCs/>
                      <w:color w:val="auto"/>
                      <w:szCs w:val="21"/>
                      <w:lang w:val="en-US" w:eastAsia="zh-CN"/>
                    </w:rPr>
                    <w:t>脉冲布袋除尘器（TA004）+15m排气筒（DA004）</w:t>
                  </w:r>
                </w:p>
              </w:tc>
            </w:tr>
            <w:tr w14:paraId="2291A5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36" w:type="dxa"/>
                  <w:vMerge w:val="continue"/>
                  <w:tcBorders>
                    <w:tl2br w:val="nil"/>
                    <w:tr2bl w:val="nil"/>
                  </w:tcBorders>
                  <w:noWrap w:val="0"/>
                  <w:vAlign w:val="center"/>
                </w:tcPr>
                <w:p w14:paraId="0C8457D0">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p>
              </w:tc>
              <w:tc>
                <w:tcPr>
                  <w:tcW w:w="596" w:type="dxa"/>
                  <w:vMerge w:val="continue"/>
                  <w:tcBorders>
                    <w:tl2br w:val="nil"/>
                    <w:tr2bl w:val="nil"/>
                  </w:tcBorders>
                  <w:noWrap w:val="0"/>
                  <w:vAlign w:val="center"/>
                </w:tcPr>
                <w:p w14:paraId="0AEFDB5D">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p>
              </w:tc>
              <w:tc>
                <w:tcPr>
                  <w:tcW w:w="1937" w:type="dxa"/>
                  <w:gridSpan w:val="2"/>
                  <w:vMerge w:val="continue"/>
                  <w:tcBorders>
                    <w:tl2br w:val="nil"/>
                    <w:tr2bl w:val="nil"/>
                  </w:tcBorders>
                  <w:noWrap w:val="0"/>
                  <w:vAlign w:val="center"/>
                </w:tcPr>
                <w:p w14:paraId="61930FA0">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p>
              </w:tc>
              <w:tc>
                <w:tcPr>
                  <w:tcW w:w="5038" w:type="dxa"/>
                  <w:tcBorders>
                    <w:tl2br w:val="nil"/>
                    <w:tr2bl w:val="nil"/>
                  </w:tcBorders>
                  <w:noWrap w:val="0"/>
                  <w:vAlign w:val="center"/>
                </w:tcPr>
                <w:p w14:paraId="7081B6F5">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r>
                    <w:rPr>
                      <w:rFonts w:hint="eastAsia"/>
                      <w:bCs/>
                      <w:color w:val="auto"/>
                      <w:szCs w:val="21"/>
                      <w:lang w:val="en-US" w:eastAsia="zh-CN"/>
                    </w:rPr>
                    <w:t>脉冲布袋除尘器（TA005）+15m排气筒（DA005）</w:t>
                  </w:r>
                </w:p>
              </w:tc>
            </w:tr>
            <w:tr w14:paraId="3B116C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36" w:type="dxa"/>
                  <w:vMerge w:val="continue"/>
                  <w:tcBorders>
                    <w:tl2br w:val="nil"/>
                    <w:tr2bl w:val="nil"/>
                  </w:tcBorders>
                  <w:noWrap w:val="0"/>
                  <w:vAlign w:val="center"/>
                </w:tcPr>
                <w:p w14:paraId="06648BBA">
                  <w:pPr>
                    <w:keepNext w:val="0"/>
                    <w:keepLines w:val="0"/>
                    <w:suppressLineNumbers w:val="0"/>
                    <w:spacing w:before="0" w:beforeAutospacing="0" w:after="0" w:afterAutospacing="0" w:line="240" w:lineRule="auto"/>
                    <w:ind w:left="0" w:right="0"/>
                    <w:jc w:val="center"/>
                    <w:rPr>
                      <w:rFonts w:hint="default"/>
                    </w:rPr>
                  </w:pPr>
                </w:p>
              </w:tc>
              <w:tc>
                <w:tcPr>
                  <w:tcW w:w="596" w:type="dxa"/>
                  <w:vMerge w:val="continue"/>
                  <w:tcBorders>
                    <w:tl2br w:val="nil"/>
                    <w:tr2bl w:val="nil"/>
                  </w:tcBorders>
                  <w:noWrap w:val="0"/>
                  <w:vAlign w:val="center"/>
                </w:tcPr>
                <w:p w14:paraId="071F843A">
                  <w:pPr>
                    <w:keepNext w:val="0"/>
                    <w:keepLines w:val="0"/>
                    <w:suppressLineNumbers w:val="0"/>
                    <w:spacing w:before="0" w:beforeAutospacing="0" w:after="0" w:afterAutospacing="0" w:line="240" w:lineRule="auto"/>
                    <w:ind w:left="0" w:right="0"/>
                    <w:jc w:val="center"/>
                    <w:rPr>
                      <w:rFonts w:hint="default"/>
                    </w:rPr>
                  </w:pPr>
                </w:p>
              </w:tc>
              <w:tc>
                <w:tcPr>
                  <w:tcW w:w="1937" w:type="dxa"/>
                  <w:gridSpan w:val="2"/>
                  <w:vMerge w:val="continue"/>
                  <w:tcBorders>
                    <w:tl2br w:val="nil"/>
                    <w:tr2bl w:val="nil"/>
                  </w:tcBorders>
                  <w:noWrap w:val="0"/>
                  <w:vAlign w:val="center"/>
                </w:tcPr>
                <w:p w14:paraId="78E9D481">
                  <w:pPr>
                    <w:keepNext w:val="0"/>
                    <w:keepLines w:val="0"/>
                    <w:suppressLineNumbers w:val="0"/>
                    <w:spacing w:before="0" w:beforeAutospacing="0" w:after="0" w:afterAutospacing="0" w:line="240" w:lineRule="auto"/>
                    <w:ind w:left="0" w:right="0"/>
                    <w:jc w:val="center"/>
                    <w:rPr>
                      <w:rFonts w:hint="default"/>
                    </w:rPr>
                  </w:pPr>
                </w:p>
              </w:tc>
              <w:tc>
                <w:tcPr>
                  <w:tcW w:w="5038" w:type="dxa"/>
                  <w:tcBorders>
                    <w:tl2br w:val="nil"/>
                    <w:tr2bl w:val="nil"/>
                  </w:tcBorders>
                  <w:noWrap w:val="0"/>
                  <w:vAlign w:val="center"/>
                </w:tcPr>
                <w:p w14:paraId="0B784CED">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r>
                    <w:rPr>
                      <w:rFonts w:hint="eastAsia"/>
                      <w:bCs/>
                      <w:color w:val="auto"/>
                      <w:szCs w:val="21"/>
                      <w:lang w:val="en-US" w:eastAsia="zh-CN"/>
                    </w:rPr>
                    <w:t>脉冲布袋除尘器（TA006）+15m排气筒（DA006）</w:t>
                  </w:r>
                </w:p>
              </w:tc>
            </w:tr>
            <w:tr w14:paraId="18DA0D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36" w:type="dxa"/>
                  <w:vMerge w:val="continue"/>
                  <w:tcBorders>
                    <w:tl2br w:val="nil"/>
                    <w:tr2bl w:val="nil"/>
                  </w:tcBorders>
                  <w:noWrap w:val="0"/>
                  <w:vAlign w:val="center"/>
                </w:tcPr>
                <w:p w14:paraId="1AA78178">
                  <w:pPr>
                    <w:keepNext w:val="0"/>
                    <w:keepLines w:val="0"/>
                    <w:suppressLineNumbers w:val="0"/>
                    <w:spacing w:before="0" w:beforeAutospacing="0" w:after="0" w:afterAutospacing="0" w:line="240" w:lineRule="auto"/>
                    <w:ind w:left="0" w:right="0"/>
                    <w:jc w:val="center"/>
                    <w:rPr>
                      <w:rFonts w:hint="default"/>
                    </w:rPr>
                  </w:pPr>
                </w:p>
              </w:tc>
              <w:tc>
                <w:tcPr>
                  <w:tcW w:w="596" w:type="dxa"/>
                  <w:vMerge w:val="continue"/>
                  <w:tcBorders>
                    <w:tl2br w:val="nil"/>
                    <w:tr2bl w:val="nil"/>
                  </w:tcBorders>
                  <w:noWrap w:val="0"/>
                  <w:vAlign w:val="center"/>
                </w:tcPr>
                <w:p w14:paraId="407B17BD">
                  <w:pPr>
                    <w:keepNext w:val="0"/>
                    <w:keepLines w:val="0"/>
                    <w:suppressLineNumbers w:val="0"/>
                    <w:spacing w:before="0" w:beforeAutospacing="0" w:after="0" w:afterAutospacing="0" w:line="240" w:lineRule="auto"/>
                    <w:ind w:left="0" w:right="0"/>
                    <w:jc w:val="center"/>
                    <w:rPr>
                      <w:rFonts w:hint="default"/>
                    </w:rPr>
                  </w:pPr>
                </w:p>
              </w:tc>
              <w:tc>
                <w:tcPr>
                  <w:tcW w:w="1937" w:type="dxa"/>
                  <w:gridSpan w:val="2"/>
                  <w:vMerge w:val="continue"/>
                  <w:tcBorders>
                    <w:tl2br w:val="nil"/>
                    <w:tr2bl w:val="nil"/>
                  </w:tcBorders>
                  <w:noWrap w:val="0"/>
                  <w:vAlign w:val="center"/>
                </w:tcPr>
                <w:p w14:paraId="44487E45">
                  <w:pPr>
                    <w:keepNext w:val="0"/>
                    <w:keepLines w:val="0"/>
                    <w:suppressLineNumbers w:val="0"/>
                    <w:spacing w:before="0" w:beforeAutospacing="0" w:after="0" w:afterAutospacing="0" w:line="240" w:lineRule="auto"/>
                    <w:ind w:left="0" w:right="0"/>
                    <w:jc w:val="center"/>
                    <w:rPr>
                      <w:rFonts w:hint="default"/>
                    </w:rPr>
                  </w:pPr>
                </w:p>
              </w:tc>
              <w:tc>
                <w:tcPr>
                  <w:tcW w:w="5038" w:type="dxa"/>
                  <w:tcBorders>
                    <w:tl2br w:val="nil"/>
                    <w:tr2bl w:val="nil"/>
                  </w:tcBorders>
                  <w:noWrap w:val="0"/>
                  <w:vAlign w:val="center"/>
                </w:tcPr>
                <w:p w14:paraId="62C685A5">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r>
                    <w:rPr>
                      <w:rFonts w:hint="eastAsia"/>
                      <w:bCs/>
                      <w:color w:val="auto"/>
                      <w:szCs w:val="21"/>
                      <w:lang w:val="en-US" w:eastAsia="zh-CN"/>
                    </w:rPr>
                    <w:t>脉冲布袋除尘器（TA007）+15m排气筒（DA007）</w:t>
                  </w:r>
                </w:p>
              </w:tc>
            </w:tr>
            <w:tr w14:paraId="695C1B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90" w:hRule="atLeast"/>
                <w:jc w:val="center"/>
              </w:trPr>
              <w:tc>
                <w:tcPr>
                  <w:tcW w:w="536" w:type="dxa"/>
                  <w:vMerge w:val="continue"/>
                  <w:tcBorders>
                    <w:tl2br w:val="nil"/>
                    <w:tr2bl w:val="nil"/>
                  </w:tcBorders>
                  <w:noWrap w:val="0"/>
                  <w:vAlign w:val="center"/>
                </w:tcPr>
                <w:p w14:paraId="380B1544">
                  <w:pPr>
                    <w:keepNext w:val="0"/>
                    <w:keepLines w:val="0"/>
                    <w:suppressLineNumbers w:val="0"/>
                    <w:spacing w:before="0" w:beforeAutospacing="0" w:after="0" w:afterAutospacing="0" w:line="240" w:lineRule="auto"/>
                    <w:ind w:left="0" w:right="0"/>
                    <w:jc w:val="center"/>
                    <w:rPr>
                      <w:rFonts w:hint="default"/>
                    </w:rPr>
                  </w:pPr>
                </w:p>
              </w:tc>
              <w:tc>
                <w:tcPr>
                  <w:tcW w:w="596" w:type="dxa"/>
                  <w:vMerge w:val="continue"/>
                  <w:tcBorders>
                    <w:tl2br w:val="nil"/>
                    <w:tr2bl w:val="nil"/>
                  </w:tcBorders>
                  <w:noWrap w:val="0"/>
                  <w:vAlign w:val="center"/>
                </w:tcPr>
                <w:p w14:paraId="102A76B4">
                  <w:pPr>
                    <w:keepNext w:val="0"/>
                    <w:keepLines w:val="0"/>
                    <w:suppressLineNumbers w:val="0"/>
                    <w:spacing w:before="0" w:beforeAutospacing="0" w:after="0" w:afterAutospacing="0" w:line="240" w:lineRule="auto"/>
                    <w:ind w:left="0" w:right="0"/>
                    <w:jc w:val="center"/>
                    <w:rPr>
                      <w:rFonts w:hint="default"/>
                    </w:rPr>
                  </w:pPr>
                </w:p>
              </w:tc>
              <w:tc>
                <w:tcPr>
                  <w:tcW w:w="1937" w:type="dxa"/>
                  <w:gridSpan w:val="2"/>
                  <w:vMerge w:val="continue"/>
                  <w:tcBorders>
                    <w:tl2br w:val="nil"/>
                    <w:tr2bl w:val="nil"/>
                  </w:tcBorders>
                  <w:noWrap w:val="0"/>
                  <w:vAlign w:val="center"/>
                </w:tcPr>
                <w:p w14:paraId="68FD38E8">
                  <w:pPr>
                    <w:keepNext w:val="0"/>
                    <w:keepLines w:val="0"/>
                    <w:suppressLineNumbers w:val="0"/>
                    <w:spacing w:before="0" w:beforeAutospacing="0" w:after="0" w:afterAutospacing="0" w:line="240" w:lineRule="auto"/>
                    <w:ind w:left="0" w:right="0"/>
                    <w:jc w:val="center"/>
                    <w:rPr>
                      <w:rFonts w:hint="default"/>
                    </w:rPr>
                  </w:pPr>
                </w:p>
              </w:tc>
              <w:tc>
                <w:tcPr>
                  <w:tcW w:w="5038" w:type="dxa"/>
                  <w:tcBorders>
                    <w:tl2br w:val="nil"/>
                    <w:tr2bl w:val="nil"/>
                  </w:tcBorders>
                  <w:noWrap w:val="0"/>
                  <w:vAlign w:val="center"/>
                </w:tcPr>
                <w:p w14:paraId="645FF97F">
                  <w:pPr>
                    <w:keepNext w:val="0"/>
                    <w:keepLines w:val="0"/>
                    <w:suppressLineNumbers w:val="0"/>
                    <w:spacing w:before="0" w:beforeAutospacing="0" w:after="0" w:afterAutospacing="0" w:line="240" w:lineRule="auto"/>
                    <w:ind w:left="0" w:right="0"/>
                    <w:jc w:val="center"/>
                    <w:rPr>
                      <w:rFonts w:hint="eastAsia"/>
                      <w:bCs/>
                      <w:color w:val="auto"/>
                      <w:szCs w:val="21"/>
                      <w:lang w:val="en-US" w:eastAsia="zh-CN"/>
                    </w:rPr>
                  </w:pPr>
                  <w:r>
                    <w:rPr>
                      <w:rFonts w:hint="eastAsia"/>
                      <w:bCs/>
                      <w:color w:val="auto"/>
                      <w:szCs w:val="21"/>
                      <w:lang w:val="en-US" w:eastAsia="zh-CN"/>
                    </w:rPr>
                    <w:t>脉冲布袋除尘器（TA008）+15m排气筒（DA008）</w:t>
                  </w:r>
                </w:p>
              </w:tc>
            </w:tr>
          </w:tbl>
          <w:p w14:paraId="4FDA72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b/>
                <w:bCs/>
                <w:color w:val="000000"/>
                <w:lang w:val="en-US" w:eastAsia="zh-CN"/>
              </w:rPr>
            </w:pPr>
            <w:r>
              <w:rPr>
                <w:rFonts w:hint="eastAsia" w:ascii="Times New Roman" w:hAnsi="Times New Roman" w:eastAsia="宋体" w:cs="宋体"/>
                <w:b/>
                <w:bCs/>
                <w:color w:val="000000"/>
                <w:sz w:val="24"/>
                <w:szCs w:val="24"/>
                <w:lang w:val="en-US" w:eastAsia="zh-CN"/>
              </w:rPr>
              <w:t>2.</w:t>
            </w:r>
            <w:r>
              <w:rPr>
                <w:rFonts w:hint="eastAsia" w:cs="宋体"/>
                <w:b/>
                <w:bCs/>
                <w:color w:val="000000"/>
                <w:sz w:val="24"/>
                <w:szCs w:val="24"/>
                <w:lang w:val="en-US" w:eastAsia="zh-CN"/>
              </w:rPr>
              <w:t>4</w:t>
            </w:r>
            <w:r>
              <w:rPr>
                <w:rFonts w:hint="eastAsia" w:ascii="Times New Roman" w:hAnsi="Times New Roman" w:eastAsia="宋体" w:cs="宋体"/>
                <w:b/>
                <w:bCs/>
                <w:color w:val="000000"/>
                <w:sz w:val="24"/>
                <w:szCs w:val="24"/>
                <w:lang w:val="en-US" w:eastAsia="zh-CN"/>
              </w:rPr>
              <w:t xml:space="preserve"> 项目主要原辅材料及能耗</w:t>
            </w:r>
          </w:p>
          <w:p w14:paraId="1D769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表2</w:t>
            </w:r>
            <w:r>
              <w:rPr>
                <w:rFonts w:hint="eastAsia" w:ascii="Times New Roman" w:hAnsi="Times New Roman" w:eastAsia="宋体" w:cs="Times New Roman"/>
                <w:b/>
                <w:bCs/>
                <w:color w:val="000000"/>
                <w:lang w:val="en-US" w:eastAsia="zh-CN"/>
              </w:rPr>
              <w:t>-</w:t>
            </w:r>
            <w:r>
              <w:rPr>
                <w:rFonts w:hint="eastAsia" w:cs="Times New Roman"/>
                <w:b/>
                <w:bCs/>
                <w:color w:val="000000"/>
                <w:lang w:val="en-US" w:eastAsia="zh-CN"/>
              </w:rPr>
              <w:t>3</w:t>
            </w:r>
            <w:r>
              <w:rPr>
                <w:rFonts w:hint="default" w:ascii="Times New Roman" w:hAnsi="Times New Roman" w:eastAsia="宋体" w:cs="Times New Roman"/>
                <w:b/>
                <w:bCs/>
                <w:color w:val="000000"/>
              </w:rPr>
              <w:t xml:space="preserve">  主要原辅材料用量</w:t>
            </w:r>
            <w:r>
              <w:rPr>
                <w:rFonts w:hint="eastAsia" w:ascii="Times New Roman" w:hAnsi="Times New Roman" w:eastAsia="宋体" w:cs="Times New Roman"/>
                <w:b/>
                <w:bCs/>
                <w:color w:val="000000"/>
                <w:lang w:val="en-US" w:eastAsia="zh-CN"/>
              </w:rPr>
              <w:t>及能耗</w:t>
            </w:r>
            <w:r>
              <w:rPr>
                <w:rFonts w:hint="default" w:ascii="Times New Roman" w:hAnsi="Times New Roman" w:eastAsia="宋体" w:cs="Times New Roman"/>
                <w:b/>
                <w:bCs/>
                <w:color w:val="000000"/>
              </w:rPr>
              <w:t>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27"/>
              <w:gridCol w:w="1819"/>
              <w:gridCol w:w="2875"/>
              <w:gridCol w:w="2589"/>
            </w:tblGrid>
            <w:tr w14:paraId="2E37C1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tblHeader/>
                <w:jc w:val="center"/>
              </w:trPr>
              <w:tc>
                <w:tcPr>
                  <w:tcW w:w="509" w:type="pct"/>
                  <w:tcBorders>
                    <w:tl2br w:val="nil"/>
                    <w:tr2bl w:val="nil"/>
                  </w:tcBorders>
                  <w:noWrap w:val="0"/>
                  <w:tcMar>
                    <w:top w:w="15" w:type="dxa"/>
                    <w:left w:w="15" w:type="dxa"/>
                    <w:right w:w="15" w:type="dxa"/>
                  </w:tcMar>
                  <w:vAlign w:val="center"/>
                </w:tcPr>
                <w:p w14:paraId="3454FB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b/>
                      <w:bCs/>
                      <w:color w:val="000000"/>
                      <w:szCs w:val="21"/>
                      <w:lang w:val="en-US" w:eastAsia="zh-CN"/>
                    </w:rPr>
                  </w:pPr>
                  <w:r>
                    <w:rPr>
                      <w:rFonts w:hint="eastAsia" w:ascii="Times New Roman" w:hAnsi="Times New Roman" w:eastAsia="宋体" w:cs="宋体"/>
                      <w:b/>
                      <w:bCs/>
                      <w:color w:val="000000"/>
                      <w:szCs w:val="21"/>
                      <w:lang w:val="en-US" w:eastAsia="zh-CN"/>
                    </w:rPr>
                    <w:t>序号</w:t>
                  </w:r>
                </w:p>
              </w:tc>
              <w:tc>
                <w:tcPr>
                  <w:tcW w:w="1121" w:type="pct"/>
                  <w:tcBorders>
                    <w:tl2br w:val="nil"/>
                    <w:tr2bl w:val="nil"/>
                  </w:tcBorders>
                  <w:noWrap w:val="0"/>
                  <w:tcMar>
                    <w:top w:w="15" w:type="dxa"/>
                    <w:left w:w="15" w:type="dxa"/>
                    <w:right w:w="15" w:type="dxa"/>
                  </w:tcMar>
                  <w:vAlign w:val="center"/>
                </w:tcPr>
                <w:p w14:paraId="5605D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产品名称</w:t>
                  </w:r>
                </w:p>
              </w:tc>
              <w:tc>
                <w:tcPr>
                  <w:tcW w:w="1772" w:type="pct"/>
                  <w:tcBorders>
                    <w:tl2br w:val="nil"/>
                    <w:tr2bl w:val="nil"/>
                  </w:tcBorders>
                  <w:noWrap w:val="0"/>
                  <w:tcMar>
                    <w:top w:w="15" w:type="dxa"/>
                    <w:left w:w="15" w:type="dxa"/>
                    <w:right w:w="15" w:type="dxa"/>
                  </w:tcMar>
                  <w:vAlign w:val="center"/>
                </w:tcPr>
                <w:p w14:paraId="4B70C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b/>
                      <w:bCs/>
                      <w:color w:val="000000"/>
                      <w:szCs w:val="21"/>
                    </w:rPr>
                  </w:pPr>
                  <w:r>
                    <w:rPr>
                      <w:rFonts w:hint="eastAsia" w:ascii="Times New Roman" w:hAnsi="Times New Roman" w:eastAsia="宋体" w:cs="宋体"/>
                      <w:b/>
                      <w:bCs/>
                      <w:color w:val="000000"/>
                      <w:szCs w:val="21"/>
                    </w:rPr>
                    <w:t>原辅材料名称</w:t>
                  </w:r>
                </w:p>
              </w:tc>
              <w:tc>
                <w:tcPr>
                  <w:tcW w:w="1596" w:type="pct"/>
                  <w:tcBorders>
                    <w:tl2br w:val="nil"/>
                    <w:tr2bl w:val="nil"/>
                  </w:tcBorders>
                  <w:noWrap w:val="0"/>
                  <w:tcMar>
                    <w:top w:w="15" w:type="dxa"/>
                    <w:left w:w="15" w:type="dxa"/>
                    <w:right w:w="15" w:type="dxa"/>
                  </w:tcMar>
                  <w:vAlign w:val="center"/>
                </w:tcPr>
                <w:p w14:paraId="7CE9C7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宋体"/>
                      <w:b/>
                      <w:bCs/>
                      <w:color w:val="000000"/>
                    </w:rPr>
                    <w:t>原辅材料用量</w:t>
                  </w:r>
                  <w:r>
                    <w:rPr>
                      <w:rFonts w:hint="eastAsia" w:ascii="Times New Roman" w:hAnsi="Times New Roman" w:eastAsia="宋体" w:cs="宋体"/>
                      <w:b/>
                      <w:bCs/>
                      <w:color w:val="000000"/>
                      <w:lang w:eastAsia="zh-CN"/>
                    </w:rPr>
                    <w:t>（</w:t>
                  </w:r>
                  <w:r>
                    <w:rPr>
                      <w:rFonts w:hint="eastAsia" w:ascii="Times New Roman" w:hAnsi="Times New Roman" w:eastAsia="宋体" w:cs="宋体"/>
                      <w:b/>
                      <w:bCs/>
                      <w:color w:val="000000"/>
                      <w:lang w:val="en-US" w:eastAsia="zh-CN"/>
                    </w:rPr>
                    <w:t>t/a</w:t>
                  </w:r>
                  <w:r>
                    <w:rPr>
                      <w:rFonts w:hint="eastAsia" w:ascii="Times New Roman" w:hAnsi="Times New Roman" w:eastAsia="宋体" w:cs="宋体"/>
                      <w:b/>
                      <w:bCs/>
                      <w:color w:val="000000"/>
                      <w:lang w:eastAsia="zh-CN"/>
                    </w:rPr>
                    <w:t>）</w:t>
                  </w:r>
                </w:p>
              </w:tc>
            </w:tr>
            <w:tr w14:paraId="525D45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49AB0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szCs w:val="21"/>
                      <w:lang w:val="en-US" w:eastAsia="zh-CN"/>
                    </w:rPr>
                    <w:t>1</w:t>
                  </w:r>
                </w:p>
              </w:tc>
              <w:tc>
                <w:tcPr>
                  <w:tcW w:w="1121" w:type="pct"/>
                  <w:vMerge w:val="restart"/>
                  <w:tcBorders>
                    <w:tl2br w:val="nil"/>
                    <w:tr2bl w:val="nil"/>
                  </w:tcBorders>
                  <w:noWrap w:val="0"/>
                  <w:tcMar>
                    <w:top w:w="15" w:type="dxa"/>
                    <w:left w:w="15" w:type="dxa"/>
                    <w:right w:w="15" w:type="dxa"/>
                  </w:tcMar>
                  <w:vAlign w:val="center"/>
                </w:tcPr>
                <w:p w14:paraId="65267B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vertAlign w:val="baseline"/>
                      <w:lang w:val="en-US" w:eastAsia="zh-CN"/>
                    </w:rPr>
                  </w:pPr>
                  <w:r>
                    <w:rPr>
                      <w:rFonts w:hint="eastAsia" w:cs="Times New Roman"/>
                      <w:color w:val="auto"/>
                      <w:vertAlign w:val="baseline"/>
                      <w:lang w:val="en-US" w:eastAsia="zh-CN"/>
                    </w:rPr>
                    <w:t>卫生巾</w:t>
                  </w:r>
                </w:p>
              </w:tc>
              <w:tc>
                <w:tcPr>
                  <w:tcW w:w="1772" w:type="pct"/>
                  <w:tcBorders>
                    <w:tl2br w:val="nil"/>
                    <w:tr2bl w:val="nil"/>
                  </w:tcBorders>
                  <w:noWrap w:val="0"/>
                  <w:tcMar>
                    <w:top w:w="15" w:type="dxa"/>
                    <w:left w:w="15" w:type="dxa"/>
                    <w:right w:w="15" w:type="dxa"/>
                  </w:tcMar>
                  <w:vAlign w:val="center"/>
                </w:tcPr>
                <w:p w14:paraId="5B24F5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vertAlign w:val="baseline"/>
                      <w:lang w:val="en-US" w:eastAsia="zh-CN"/>
                    </w:rPr>
                    <w:t>无纺布</w:t>
                  </w:r>
                </w:p>
              </w:tc>
              <w:tc>
                <w:tcPr>
                  <w:tcW w:w="1596" w:type="pct"/>
                  <w:tcBorders>
                    <w:tl2br w:val="nil"/>
                    <w:tr2bl w:val="nil"/>
                  </w:tcBorders>
                  <w:noWrap w:val="0"/>
                  <w:tcMar>
                    <w:top w:w="15" w:type="dxa"/>
                    <w:left w:w="15" w:type="dxa"/>
                    <w:right w:w="15" w:type="dxa"/>
                  </w:tcMar>
                  <w:vAlign w:val="center"/>
                </w:tcPr>
                <w:p w14:paraId="6971E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vertAlign w:val="baseline"/>
                      <w:lang w:val="en-US" w:eastAsia="zh-CN" w:bidi="ar-SA"/>
                    </w:rPr>
                  </w:pPr>
                </w:p>
              </w:tc>
            </w:tr>
            <w:tr w14:paraId="51E0AB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7CF3B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2</w:t>
                  </w:r>
                </w:p>
              </w:tc>
              <w:tc>
                <w:tcPr>
                  <w:tcW w:w="1121" w:type="pct"/>
                  <w:vMerge w:val="continue"/>
                  <w:tcBorders>
                    <w:tl2br w:val="nil"/>
                    <w:tr2bl w:val="nil"/>
                  </w:tcBorders>
                  <w:noWrap w:val="0"/>
                  <w:tcMar>
                    <w:top w:w="15" w:type="dxa"/>
                    <w:left w:w="15" w:type="dxa"/>
                    <w:right w:w="15" w:type="dxa"/>
                  </w:tcMar>
                  <w:vAlign w:val="center"/>
                </w:tcPr>
                <w:p w14:paraId="28C5E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vertAlign w:val="baseline"/>
                      <w:lang w:val="en-US" w:eastAsia="zh-CN"/>
                    </w:rPr>
                  </w:pPr>
                </w:p>
              </w:tc>
              <w:tc>
                <w:tcPr>
                  <w:tcW w:w="1772" w:type="pct"/>
                  <w:tcBorders>
                    <w:tl2br w:val="nil"/>
                    <w:tr2bl w:val="nil"/>
                  </w:tcBorders>
                  <w:noWrap w:val="0"/>
                  <w:tcMar>
                    <w:top w:w="15" w:type="dxa"/>
                    <w:left w:w="15" w:type="dxa"/>
                    <w:right w:w="15" w:type="dxa"/>
                  </w:tcMar>
                  <w:vAlign w:val="center"/>
                </w:tcPr>
                <w:p w14:paraId="00B54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vertAlign w:val="baseline"/>
                      <w:lang w:val="en-US" w:eastAsia="zh-CN"/>
                    </w:rPr>
                    <w:t>PE膜（含透气膜和流延膜）</w:t>
                  </w:r>
                </w:p>
              </w:tc>
              <w:tc>
                <w:tcPr>
                  <w:tcW w:w="1596" w:type="pct"/>
                  <w:tcBorders>
                    <w:tl2br w:val="nil"/>
                    <w:tr2bl w:val="nil"/>
                  </w:tcBorders>
                  <w:noWrap w:val="0"/>
                  <w:tcMar>
                    <w:top w:w="15" w:type="dxa"/>
                    <w:left w:w="15" w:type="dxa"/>
                    <w:right w:w="15" w:type="dxa"/>
                  </w:tcMar>
                  <w:vAlign w:val="center"/>
                </w:tcPr>
                <w:p w14:paraId="59B29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vertAlign w:val="baseline"/>
                      <w:lang w:val="en-US" w:eastAsia="zh-CN" w:bidi="ar-SA"/>
                    </w:rPr>
                  </w:pPr>
                </w:p>
              </w:tc>
            </w:tr>
            <w:tr w14:paraId="508A2E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6D949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3</w:t>
                  </w:r>
                </w:p>
              </w:tc>
              <w:tc>
                <w:tcPr>
                  <w:tcW w:w="1121" w:type="pct"/>
                  <w:vMerge w:val="continue"/>
                  <w:tcBorders>
                    <w:tl2br w:val="nil"/>
                    <w:tr2bl w:val="nil"/>
                  </w:tcBorders>
                  <w:noWrap w:val="0"/>
                  <w:tcMar>
                    <w:top w:w="15" w:type="dxa"/>
                    <w:left w:w="15" w:type="dxa"/>
                    <w:right w:w="15" w:type="dxa"/>
                  </w:tcMar>
                  <w:vAlign w:val="center"/>
                </w:tcPr>
                <w:p w14:paraId="47FD5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vertAlign w:val="baseline"/>
                      <w:lang w:val="en-US" w:eastAsia="zh-CN"/>
                    </w:rPr>
                  </w:pPr>
                </w:p>
              </w:tc>
              <w:tc>
                <w:tcPr>
                  <w:tcW w:w="1772" w:type="pct"/>
                  <w:tcBorders>
                    <w:tl2br w:val="nil"/>
                    <w:tr2bl w:val="nil"/>
                  </w:tcBorders>
                  <w:noWrap w:val="0"/>
                  <w:tcMar>
                    <w:top w:w="15" w:type="dxa"/>
                    <w:left w:w="15" w:type="dxa"/>
                    <w:right w:w="15" w:type="dxa"/>
                  </w:tcMar>
                  <w:vAlign w:val="center"/>
                </w:tcPr>
                <w:p w14:paraId="76E1F4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热熔胶</w:t>
                  </w:r>
                </w:p>
              </w:tc>
              <w:tc>
                <w:tcPr>
                  <w:tcW w:w="1596" w:type="pct"/>
                  <w:tcBorders>
                    <w:tl2br w:val="nil"/>
                    <w:tr2bl w:val="nil"/>
                  </w:tcBorders>
                  <w:noWrap w:val="0"/>
                  <w:tcMar>
                    <w:top w:w="15" w:type="dxa"/>
                    <w:left w:w="15" w:type="dxa"/>
                    <w:right w:w="15" w:type="dxa"/>
                  </w:tcMar>
                  <w:vAlign w:val="center"/>
                </w:tcPr>
                <w:p w14:paraId="5CDC46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vertAlign w:val="baseline"/>
                      <w:lang w:val="en-US" w:eastAsia="zh-CN" w:bidi="ar-SA"/>
                    </w:rPr>
                  </w:pPr>
                </w:p>
              </w:tc>
            </w:tr>
            <w:tr w14:paraId="027187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103EF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4</w:t>
                  </w:r>
                </w:p>
              </w:tc>
              <w:tc>
                <w:tcPr>
                  <w:tcW w:w="1121" w:type="pct"/>
                  <w:vMerge w:val="continue"/>
                  <w:tcBorders>
                    <w:tl2br w:val="nil"/>
                    <w:tr2bl w:val="nil"/>
                  </w:tcBorders>
                  <w:noWrap w:val="0"/>
                  <w:tcMar>
                    <w:top w:w="15" w:type="dxa"/>
                    <w:left w:w="15" w:type="dxa"/>
                    <w:right w:w="15" w:type="dxa"/>
                  </w:tcMar>
                  <w:vAlign w:val="center"/>
                </w:tcPr>
                <w:p w14:paraId="080DCF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vertAlign w:val="baseline"/>
                      <w:lang w:val="en-US" w:eastAsia="zh-CN"/>
                    </w:rPr>
                  </w:pPr>
                </w:p>
              </w:tc>
              <w:tc>
                <w:tcPr>
                  <w:tcW w:w="1772" w:type="pct"/>
                  <w:tcBorders>
                    <w:tl2br w:val="nil"/>
                    <w:tr2bl w:val="nil"/>
                  </w:tcBorders>
                  <w:noWrap w:val="0"/>
                  <w:tcMar>
                    <w:top w:w="15" w:type="dxa"/>
                    <w:left w:w="15" w:type="dxa"/>
                    <w:right w:w="15" w:type="dxa"/>
                  </w:tcMar>
                  <w:vAlign w:val="center"/>
                </w:tcPr>
                <w:p w14:paraId="1830F2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木浆</w:t>
                  </w:r>
                </w:p>
              </w:tc>
              <w:tc>
                <w:tcPr>
                  <w:tcW w:w="1596" w:type="pct"/>
                  <w:tcBorders>
                    <w:tl2br w:val="nil"/>
                    <w:tr2bl w:val="nil"/>
                  </w:tcBorders>
                  <w:noWrap w:val="0"/>
                  <w:tcMar>
                    <w:top w:w="15" w:type="dxa"/>
                    <w:left w:w="15" w:type="dxa"/>
                    <w:right w:w="15" w:type="dxa"/>
                  </w:tcMar>
                  <w:vAlign w:val="center"/>
                </w:tcPr>
                <w:p w14:paraId="70386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vertAlign w:val="baseline"/>
                      <w:lang w:val="en-US" w:eastAsia="zh-CN" w:bidi="ar-SA"/>
                    </w:rPr>
                  </w:pPr>
                </w:p>
              </w:tc>
            </w:tr>
            <w:tr w14:paraId="59E249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3" w:hRule="atLeast"/>
                <w:jc w:val="center"/>
              </w:trPr>
              <w:tc>
                <w:tcPr>
                  <w:tcW w:w="509" w:type="pct"/>
                  <w:tcBorders>
                    <w:tl2br w:val="nil"/>
                    <w:tr2bl w:val="nil"/>
                  </w:tcBorders>
                  <w:noWrap w:val="0"/>
                  <w:tcMar>
                    <w:top w:w="15" w:type="dxa"/>
                    <w:left w:w="15" w:type="dxa"/>
                    <w:right w:w="15" w:type="dxa"/>
                  </w:tcMar>
                  <w:vAlign w:val="center"/>
                </w:tcPr>
                <w:p w14:paraId="30EEC1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5</w:t>
                  </w:r>
                </w:p>
              </w:tc>
              <w:tc>
                <w:tcPr>
                  <w:tcW w:w="1121" w:type="pct"/>
                  <w:vMerge w:val="continue"/>
                  <w:tcBorders>
                    <w:tl2br w:val="nil"/>
                    <w:tr2bl w:val="nil"/>
                  </w:tcBorders>
                  <w:noWrap w:val="0"/>
                  <w:tcMar>
                    <w:top w:w="15" w:type="dxa"/>
                    <w:left w:w="15" w:type="dxa"/>
                    <w:right w:w="15" w:type="dxa"/>
                  </w:tcMar>
                  <w:vAlign w:val="center"/>
                </w:tcPr>
                <w:p w14:paraId="3409B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vertAlign w:val="baseline"/>
                      <w:lang w:val="en-US" w:eastAsia="zh-CN"/>
                    </w:rPr>
                  </w:pPr>
                </w:p>
              </w:tc>
              <w:tc>
                <w:tcPr>
                  <w:tcW w:w="1772" w:type="pct"/>
                  <w:tcBorders>
                    <w:tl2br w:val="nil"/>
                    <w:tr2bl w:val="nil"/>
                  </w:tcBorders>
                  <w:noWrap w:val="0"/>
                  <w:tcMar>
                    <w:top w:w="15" w:type="dxa"/>
                    <w:left w:w="15" w:type="dxa"/>
                    <w:right w:w="15" w:type="dxa"/>
                  </w:tcMar>
                  <w:vAlign w:val="center"/>
                </w:tcPr>
                <w:p w14:paraId="446C1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SAP</w:t>
                  </w:r>
                  <w:r>
                    <w:rPr>
                      <w:rFonts w:hint="eastAsia" w:cs="Times New Roman"/>
                      <w:color w:val="auto"/>
                      <w:vertAlign w:val="baseline"/>
                      <w:lang w:val="en-US" w:eastAsia="zh-CN"/>
                    </w:rPr>
                    <w:t>高分子吸水树脂</w:t>
                  </w:r>
                </w:p>
              </w:tc>
              <w:tc>
                <w:tcPr>
                  <w:tcW w:w="1596" w:type="pct"/>
                  <w:tcBorders>
                    <w:tl2br w:val="nil"/>
                    <w:tr2bl w:val="nil"/>
                  </w:tcBorders>
                  <w:noWrap w:val="0"/>
                  <w:tcMar>
                    <w:top w:w="15" w:type="dxa"/>
                    <w:left w:w="15" w:type="dxa"/>
                    <w:right w:w="15" w:type="dxa"/>
                  </w:tcMar>
                  <w:vAlign w:val="center"/>
                </w:tcPr>
                <w:p w14:paraId="424B53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vertAlign w:val="baseline"/>
                      <w:lang w:val="en-US" w:eastAsia="zh-CN" w:bidi="ar-SA"/>
                    </w:rPr>
                  </w:pPr>
                </w:p>
              </w:tc>
            </w:tr>
            <w:tr w14:paraId="723A03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138C8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6</w:t>
                  </w:r>
                </w:p>
              </w:tc>
              <w:tc>
                <w:tcPr>
                  <w:tcW w:w="1121" w:type="pct"/>
                  <w:vMerge w:val="continue"/>
                  <w:tcBorders>
                    <w:tl2br w:val="nil"/>
                    <w:tr2bl w:val="nil"/>
                  </w:tcBorders>
                  <w:noWrap w:val="0"/>
                  <w:tcMar>
                    <w:top w:w="15" w:type="dxa"/>
                    <w:left w:w="15" w:type="dxa"/>
                    <w:right w:w="15" w:type="dxa"/>
                  </w:tcMar>
                  <w:vAlign w:val="center"/>
                </w:tcPr>
                <w:p w14:paraId="29F9A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683603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膨化纸（无尘纸）</w:t>
                  </w:r>
                </w:p>
              </w:tc>
              <w:tc>
                <w:tcPr>
                  <w:tcW w:w="1596" w:type="pct"/>
                  <w:tcBorders>
                    <w:tl2br w:val="nil"/>
                    <w:tr2bl w:val="nil"/>
                  </w:tcBorders>
                  <w:noWrap w:val="0"/>
                  <w:tcMar>
                    <w:top w:w="15" w:type="dxa"/>
                    <w:left w:w="15" w:type="dxa"/>
                    <w:right w:w="15" w:type="dxa"/>
                  </w:tcMar>
                  <w:vAlign w:val="center"/>
                </w:tcPr>
                <w:p w14:paraId="7D1D54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vertAlign w:val="baseline"/>
                      <w:lang w:val="en-US" w:eastAsia="zh-CN" w:bidi="ar-SA"/>
                    </w:rPr>
                  </w:pPr>
                </w:p>
              </w:tc>
            </w:tr>
            <w:tr w14:paraId="3DB6CB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36FDE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7</w:t>
                  </w:r>
                </w:p>
              </w:tc>
              <w:tc>
                <w:tcPr>
                  <w:tcW w:w="1121" w:type="pct"/>
                  <w:vMerge w:val="continue"/>
                  <w:tcBorders>
                    <w:tl2br w:val="nil"/>
                    <w:tr2bl w:val="nil"/>
                  </w:tcBorders>
                  <w:noWrap w:val="0"/>
                  <w:tcMar>
                    <w:top w:w="15" w:type="dxa"/>
                    <w:left w:w="15" w:type="dxa"/>
                    <w:right w:w="15" w:type="dxa"/>
                  </w:tcMar>
                  <w:vAlign w:val="center"/>
                </w:tcPr>
                <w:p w14:paraId="7CAE8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p>
              </w:tc>
              <w:tc>
                <w:tcPr>
                  <w:tcW w:w="1772" w:type="pct"/>
                  <w:tcBorders>
                    <w:tl2br w:val="nil"/>
                    <w:tr2bl w:val="nil"/>
                  </w:tcBorders>
                  <w:noWrap w:val="0"/>
                  <w:tcMar>
                    <w:top w:w="15" w:type="dxa"/>
                    <w:left w:w="15" w:type="dxa"/>
                    <w:right w:w="15" w:type="dxa"/>
                  </w:tcMar>
                  <w:vAlign w:val="center"/>
                </w:tcPr>
                <w:p w14:paraId="49AFB5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吸水纸（复合纸）</w:t>
                  </w:r>
                </w:p>
              </w:tc>
              <w:tc>
                <w:tcPr>
                  <w:tcW w:w="1596" w:type="pct"/>
                  <w:tcBorders>
                    <w:tl2br w:val="nil"/>
                    <w:tr2bl w:val="nil"/>
                  </w:tcBorders>
                  <w:noWrap w:val="0"/>
                  <w:tcMar>
                    <w:top w:w="15" w:type="dxa"/>
                    <w:left w:w="15" w:type="dxa"/>
                    <w:right w:w="15" w:type="dxa"/>
                  </w:tcMar>
                  <w:vAlign w:val="center"/>
                </w:tcPr>
                <w:p w14:paraId="158513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vertAlign w:val="baseline"/>
                      <w:lang w:val="en-US" w:eastAsia="zh-CN" w:bidi="ar-SA"/>
                    </w:rPr>
                  </w:pPr>
                </w:p>
              </w:tc>
            </w:tr>
            <w:tr w14:paraId="2429F7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7C21B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宋体"/>
                      <w:color w:val="000000"/>
                      <w:szCs w:val="21"/>
                      <w:lang w:val="en-US" w:eastAsia="zh-CN"/>
                    </w:rPr>
                  </w:pPr>
                  <w:r>
                    <w:rPr>
                      <w:rFonts w:hint="eastAsia" w:cs="宋体"/>
                      <w:color w:val="000000"/>
                      <w:szCs w:val="21"/>
                      <w:lang w:val="en-US" w:eastAsia="zh-CN"/>
                    </w:rPr>
                    <w:t>8</w:t>
                  </w:r>
                </w:p>
              </w:tc>
              <w:tc>
                <w:tcPr>
                  <w:tcW w:w="1121" w:type="pct"/>
                  <w:vMerge w:val="continue"/>
                  <w:tcBorders>
                    <w:tl2br w:val="nil"/>
                    <w:tr2bl w:val="nil"/>
                  </w:tcBorders>
                  <w:noWrap w:val="0"/>
                  <w:tcMar>
                    <w:top w:w="15" w:type="dxa"/>
                    <w:left w:w="15" w:type="dxa"/>
                    <w:right w:w="15" w:type="dxa"/>
                  </w:tcMar>
                  <w:vAlign w:val="center"/>
                </w:tcPr>
                <w:p w14:paraId="576C5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p>
              </w:tc>
              <w:tc>
                <w:tcPr>
                  <w:tcW w:w="1772" w:type="pct"/>
                  <w:tcBorders>
                    <w:tl2br w:val="nil"/>
                    <w:tr2bl w:val="nil"/>
                  </w:tcBorders>
                  <w:noWrap w:val="0"/>
                  <w:tcMar>
                    <w:top w:w="15" w:type="dxa"/>
                    <w:left w:w="15" w:type="dxa"/>
                    <w:right w:w="15" w:type="dxa"/>
                  </w:tcMar>
                  <w:vAlign w:val="center"/>
                </w:tcPr>
                <w:p w14:paraId="4F0332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离型纸</w:t>
                  </w:r>
                </w:p>
              </w:tc>
              <w:tc>
                <w:tcPr>
                  <w:tcW w:w="1596" w:type="pct"/>
                  <w:tcBorders>
                    <w:tl2br w:val="nil"/>
                    <w:tr2bl w:val="nil"/>
                  </w:tcBorders>
                  <w:noWrap w:val="0"/>
                  <w:tcMar>
                    <w:top w:w="15" w:type="dxa"/>
                    <w:left w:w="15" w:type="dxa"/>
                    <w:right w:w="15" w:type="dxa"/>
                  </w:tcMar>
                  <w:vAlign w:val="center"/>
                </w:tcPr>
                <w:p w14:paraId="5B97CC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vertAlign w:val="baseline"/>
                      <w:lang w:val="en-US" w:eastAsia="zh-CN" w:bidi="ar-SA"/>
                    </w:rPr>
                  </w:pPr>
                </w:p>
              </w:tc>
            </w:tr>
            <w:tr w14:paraId="5FE627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08DCAD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宋体"/>
                      <w:color w:val="000000"/>
                      <w:szCs w:val="21"/>
                      <w:lang w:val="en-US" w:eastAsia="zh-CN"/>
                    </w:rPr>
                  </w:pPr>
                  <w:r>
                    <w:rPr>
                      <w:rFonts w:hint="eastAsia" w:cs="宋体"/>
                      <w:color w:val="000000"/>
                      <w:szCs w:val="21"/>
                      <w:lang w:val="en-US" w:eastAsia="zh-CN"/>
                    </w:rPr>
                    <w:t>9</w:t>
                  </w:r>
                </w:p>
              </w:tc>
              <w:tc>
                <w:tcPr>
                  <w:tcW w:w="1121" w:type="pct"/>
                  <w:vMerge w:val="continue"/>
                  <w:tcBorders>
                    <w:tl2br w:val="nil"/>
                    <w:tr2bl w:val="nil"/>
                  </w:tcBorders>
                  <w:noWrap w:val="0"/>
                  <w:tcMar>
                    <w:top w:w="15" w:type="dxa"/>
                    <w:left w:w="15" w:type="dxa"/>
                    <w:right w:w="15" w:type="dxa"/>
                  </w:tcMar>
                  <w:vAlign w:val="center"/>
                </w:tcPr>
                <w:p w14:paraId="77917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4382F7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vertAlign w:val="baseline"/>
                      <w:lang w:val="en-US" w:eastAsia="zh-CN"/>
                    </w:rPr>
                    <w:t>快易贴</w:t>
                  </w:r>
                </w:p>
              </w:tc>
              <w:tc>
                <w:tcPr>
                  <w:tcW w:w="1596" w:type="pct"/>
                  <w:tcBorders>
                    <w:tl2br w:val="nil"/>
                    <w:tr2bl w:val="nil"/>
                  </w:tcBorders>
                  <w:noWrap w:val="0"/>
                  <w:tcMar>
                    <w:top w:w="15" w:type="dxa"/>
                    <w:left w:w="15" w:type="dxa"/>
                    <w:right w:w="15" w:type="dxa"/>
                  </w:tcMar>
                  <w:vAlign w:val="center"/>
                </w:tcPr>
                <w:p w14:paraId="77716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vertAlign w:val="baseline"/>
                      <w:lang w:val="en-US" w:eastAsia="zh-CN" w:bidi="ar-SA"/>
                    </w:rPr>
                  </w:pPr>
                </w:p>
              </w:tc>
            </w:tr>
            <w:tr w14:paraId="0DCC09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4FDC2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宋体"/>
                      <w:color w:val="000000"/>
                      <w:szCs w:val="21"/>
                      <w:lang w:val="en-US" w:eastAsia="zh-CN"/>
                    </w:rPr>
                  </w:pPr>
                  <w:r>
                    <w:rPr>
                      <w:rFonts w:hint="eastAsia" w:cs="宋体"/>
                      <w:color w:val="000000"/>
                      <w:szCs w:val="21"/>
                      <w:lang w:val="en-US" w:eastAsia="zh-CN"/>
                    </w:rPr>
                    <w:t>10</w:t>
                  </w:r>
                </w:p>
              </w:tc>
              <w:tc>
                <w:tcPr>
                  <w:tcW w:w="1121" w:type="pct"/>
                  <w:vMerge w:val="continue"/>
                  <w:tcBorders>
                    <w:tl2br w:val="nil"/>
                    <w:tr2bl w:val="nil"/>
                  </w:tcBorders>
                  <w:noWrap w:val="0"/>
                  <w:tcMar>
                    <w:top w:w="15" w:type="dxa"/>
                    <w:left w:w="15" w:type="dxa"/>
                    <w:right w:w="15" w:type="dxa"/>
                  </w:tcMar>
                  <w:vAlign w:val="center"/>
                </w:tcPr>
                <w:p w14:paraId="4D83DB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385E7E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卫生纸</w:t>
                  </w:r>
                </w:p>
              </w:tc>
              <w:tc>
                <w:tcPr>
                  <w:tcW w:w="1596" w:type="pct"/>
                  <w:tcBorders>
                    <w:tl2br w:val="nil"/>
                    <w:tr2bl w:val="nil"/>
                  </w:tcBorders>
                  <w:noWrap w:val="0"/>
                  <w:tcMar>
                    <w:top w:w="15" w:type="dxa"/>
                    <w:left w:w="15" w:type="dxa"/>
                    <w:right w:w="15" w:type="dxa"/>
                  </w:tcMar>
                  <w:vAlign w:val="center"/>
                </w:tcPr>
                <w:p w14:paraId="43D08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3D2736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3B57D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宋体"/>
                      <w:color w:val="000000"/>
                      <w:szCs w:val="21"/>
                      <w:lang w:val="en-US" w:eastAsia="zh-CN"/>
                    </w:rPr>
                  </w:pPr>
                  <w:r>
                    <w:rPr>
                      <w:rFonts w:hint="eastAsia" w:cs="宋体"/>
                      <w:color w:val="000000"/>
                      <w:szCs w:val="21"/>
                      <w:lang w:val="en-US" w:eastAsia="zh-CN"/>
                    </w:rPr>
                    <w:t>11</w:t>
                  </w:r>
                </w:p>
              </w:tc>
              <w:tc>
                <w:tcPr>
                  <w:tcW w:w="1121" w:type="pct"/>
                  <w:vMerge w:val="continue"/>
                  <w:tcBorders>
                    <w:tl2br w:val="nil"/>
                    <w:tr2bl w:val="nil"/>
                  </w:tcBorders>
                  <w:noWrap w:val="0"/>
                  <w:tcMar>
                    <w:top w:w="15" w:type="dxa"/>
                    <w:left w:w="15" w:type="dxa"/>
                    <w:right w:w="15" w:type="dxa"/>
                  </w:tcMar>
                  <w:vAlign w:val="center"/>
                </w:tcPr>
                <w:p w14:paraId="0D107B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207DF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kern w:val="2"/>
                      <w:sz w:val="21"/>
                      <w:szCs w:val="24"/>
                      <w:vertAlign w:val="baseline"/>
                      <w:lang w:val="en-US" w:eastAsia="zh-CN" w:bidi="ar-SA"/>
                    </w:rPr>
                    <w:t>包装袋</w:t>
                  </w:r>
                </w:p>
              </w:tc>
              <w:tc>
                <w:tcPr>
                  <w:tcW w:w="1596" w:type="pct"/>
                  <w:tcBorders>
                    <w:tl2br w:val="nil"/>
                    <w:tr2bl w:val="nil"/>
                  </w:tcBorders>
                  <w:noWrap w:val="0"/>
                  <w:tcMar>
                    <w:top w:w="15" w:type="dxa"/>
                    <w:left w:w="15" w:type="dxa"/>
                    <w:right w:w="15" w:type="dxa"/>
                  </w:tcMar>
                  <w:vAlign w:val="center"/>
                </w:tcPr>
                <w:p w14:paraId="47764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06D4A4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313C8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宋体"/>
                      <w:color w:val="000000"/>
                      <w:szCs w:val="21"/>
                      <w:lang w:val="en-US" w:eastAsia="zh-CN"/>
                    </w:rPr>
                  </w:pPr>
                  <w:r>
                    <w:rPr>
                      <w:rFonts w:hint="eastAsia" w:cs="宋体"/>
                      <w:color w:val="000000"/>
                      <w:szCs w:val="21"/>
                      <w:lang w:val="en-US" w:eastAsia="zh-CN"/>
                    </w:rPr>
                    <w:t>12</w:t>
                  </w:r>
                </w:p>
              </w:tc>
              <w:tc>
                <w:tcPr>
                  <w:tcW w:w="1121" w:type="pct"/>
                  <w:vMerge w:val="continue"/>
                  <w:tcBorders>
                    <w:tl2br w:val="nil"/>
                    <w:tr2bl w:val="nil"/>
                  </w:tcBorders>
                  <w:noWrap w:val="0"/>
                  <w:tcMar>
                    <w:top w:w="15" w:type="dxa"/>
                    <w:left w:w="15" w:type="dxa"/>
                    <w:right w:w="15" w:type="dxa"/>
                  </w:tcMar>
                  <w:vAlign w:val="center"/>
                </w:tcPr>
                <w:p w14:paraId="4567B7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335B5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纸箱</w:t>
                  </w:r>
                </w:p>
              </w:tc>
              <w:tc>
                <w:tcPr>
                  <w:tcW w:w="1596" w:type="pct"/>
                  <w:tcBorders>
                    <w:tl2br w:val="nil"/>
                    <w:tr2bl w:val="nil"/>
                  </w:tcBorders>
                  <w:noWrap w:val="0"/>
                  <w:tcMar>
                    <w:top w:w="15" w:type="dxa"/>
                    <w:left w:w="15" w:type="dxa"/>
                    <w:right w:w="15" w:type="dxa"/>
                  </w:tcMar>
                  <w:vAlign w:val="center"/>
                </w:tcPr>
                <w:p w14:paraId="68E43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vertAlign w:val="baseline"/>
                      <w:lang w:val="en-US" w:eastAsia="zh-CN" w:bidi="ar-SA"/>
                    </w:rPr>
                  </w:pPr>
                </w:p>
              </w:tc>
            </w:tr>
            <w:tr w14:paraId="6E2DD5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6A366F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13</w:t>
                  </w:r>
                </w:p>
              </w:tc>
              <w:tc>
                <w:tcPr>
                  <w:tcW w:w="1121" w:type="pct"/>
                  <w:vMerge w:val="restart"/>
                  <w:tcBorders>
                    <w:tl2br w:val="nil"/>
                    <w:tr2bl w:val="nil"/>
                  </w:tcBorders>
                  <w:noWrap w:val="0"/>
                  <w:tcMar>
                    <w:top w:w="15" w:type="dxa"/>
                    <w:left w:w="15" w:type="dxa"/>
                    <w:right w:w="15" w:type="dxa"/>
                  </w:tcMar>
                  <w:vAlign w:val="center"/>
                </w:tcPr>
                <w:p w14:paraId="533F2F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经期裤</w:t>
                  </w:r>
                </w:p>
              </w:tc>
              <w:tc>
                <w:tcPr>
                  <w:tcW w:w="1772" w:type="pct"/>
                  <w:tcBorders>
                    <w:tl2br w:val="nil"/>
                    <w:tr2bl w:val="nil"/>
                  </w:tcBorders>
                  <w:noWrap w:val="0"/>
                  <w:tcMar>
                    <w:top w:w="15" w:type="dxa"/>
                    <w:left w:w="15" w:type="dxa"/>
                    <w:right w:w="15" w:type="dxa"/>
                  </w:tcMar>
                  <w:vAlign w:val="center"/>
                </w:tcPr>
                <w:p w14:paraId="4A489C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无纺布</w:t>
                  </w:r>
                </w:p>
              </w:tc>
              <w:tc>
                <w:tcPr>
                  <w:tcW w:w="1596" w:type="pct"/>
                  <w:tcBorders>
                    <w:tl2br w:val="nil"/>
                    <w:tr2bl w:val="nil"/>
                  </w:tcBorders>
                  <w:noWrap w:val="0"/>
                  <w:tcMar>
                    <w:top w:w="15" w:type="dxa"/>
                    <w:left w:w="15" w:type="dxa"/>
                    <w:right w:w="15" w:type="dxa"/>
                  </w:tcMar>
                  <w:vAlign w:val="center"/>
                </w:tcPr>
                <w:p w14:paraId="647C4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2BE62D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54091B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14</w:t>
                  </w:r>
                </w:p>
              </w:tc>
              <w:tc>
                <w:tcPr>
                  <w:tcW w:w="1121" w:type="pct"/>
                  <w:vMerge w:val="continue"/>
                  <w:tcBorders>
                    <w:tl2br w:val="nil"/>
                    <w:tr2bl w:val="nil"/>
                  </w:tcBorders>
                  <w:noWrap w:val="0"/>
                  <w:tcMar>
                    <w:top w:w="15" w:type="dxa"/>
                    <w:left w:w="15" w:type="dxa"/>
                    <w:right w:w="15" w:type="dxa"/>
                  </w:tcMar>
                  <w:vAlign w:val="center"/>
                </w:tcPr>
                <w:p w14:paraId="69435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78A4F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PE膜</w:t>
                  </w:r>
                  <w:r>
                    <w:rPr>
                      <w:rFonts w:hint="eastAsia" w:ascii="Times New Roman" w:hAnsi="Times New Roman" w:eastAsia="宋体" w:cs="Times New Roman"/>
                      <w:vertAlign w:val="baseline"/>
                      <w:lang w:val="en-US" w:eastAsia="zh-CN"/>
                    </w:rPr>
                    <w:t>（含透气膜和流延膜）</w:t>
                  </w:r>
                </w:p>
              </w:tc>
              <w:tc>
                <w:tcPr>
                  <w:tcW w:w="1596" w:type="pct"/>
                  <w:tcBorders>
                    <w:tl2br w:val="nil"/>
                    <w:tr2bl w:val="nil"/>
                  </w:tcBorders>
                  <w:noWrap w:val="0"/>
                  <w:tcMar>
                    <w:top w:w="15" w:type="dxa"/>
                    <w:left w:w="15" w:type="dxa"/>
                    <w:right w:w="15" w:type="dxa"/>
                  </w:tcMar>
                  <w:vAlign w:val="center"/>
                </w:tcPr>
                <w:p w14:paraId="407E4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582DC3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6F517B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15</w:t>
                  </w:r>
                </w:p>
              </w:tc>
              <w:tc>
                <w:tcPr>
                  <w:tcW w:w="1121" w:type="pct"/>
                  <w:vMerge w:val="continue"/>
                  <w:tcBorders>
                    <w:tl2br w:val="nil"/>
                    <w:tr2bl w:val="nil"/>
                  </w:tcBorders>
                  <w:noWrap w:val="0"/>
                  <w:tcMar>
                    <w:top w:w="15" w:type="dxa"/>
                    <w:left w:w="15" w:type="dxa"/>
                    <w:right w:w="15" w:type="dxa"/>
                  </w:tcMar>
                  <w:vAlign w:val="center"/>
                </w:tcPr>
                <w:p w14:paraId="03A5C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1D7B4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热熔胶</w:t>
                  </w:r>
                </w:p>
              </w:tc>
              <w:tc>
                <w:tcPr>
                  <w:tcW w:w="1596" w:type="pct"/>
                  <w:tcBorders>
                    <w:tl2br w:val="nil"/>
                    <w:tr2bl w:val="nil"/>
                  </w:tcBorders>
                  <w:noWrap w:val="0"/>
                  <w:tcMar>
                    <w:top w:w="15" w:type="dxa"/>
                    <w:left w:w="15" w:type="dxa"/>
                    <w:right w:w="15" w:type="dxa"/>
                  </w:tcMar>
                  <w:vAlign w:val="center"/>
                </w:tcPr>
                <w:p w14:paraId="0F5317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7A5AE5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0ED69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16</w:t>
                  </w:r>
                </w:p>
              </w:tc>
              <w:tc>
                <w:tcPr>
                  <w:tcW w:w="1121" w:type="pct"/>
                  <w:vMerge w:val="continue"/>
                  <w:tcBorders>
                    <w:tl2br w:val="nil"/>
                    <w:tr2bl w:val="nil"/>
                  </w:tcBorders>
                  <w:noWrap w:val="0"/>
                  <w:tcMar>
                    <w:top w:w="15" w:type="dxa"/>
                    <w:left w:w="15" w:type="dxa"/>
                    <w:right w:w="15" w:type="dxa"/>
                  </w:tcMar>
                  <w:vAlign w:val="center"/>
                </w:tcPr>
                <w:p w14:paraId="6E33F5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06CC9F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木浆</w:t>
                  </w:r>
                </w:p>
              </w:tc>
              <w:tc>
                <w:tcPr>
                  <w:tcW w:w="1596" w:type="pct"/>
                  <w:tcBorders>
                    <w:tl2br w:val="nil"/>
                    <w:tr2bl w:val="nil"/>
                  </w:tcBorders>
                  <w:noWrap w:val="0"/>
                  <w:tcMar>
                    <w:top w:w="15" w:type="dxa"/>
                    <w:left w:w="15" w:type="dxa"/>
                    <w:right w:w="15" w:type="dxa"/>
                  </w:tcMar>
                  <w:vAlign w:val="center"/>
                </w:tcPr>
                <w:p w14:paraId="1852D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313E3C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0057F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17</w:t>
                  </w:r>
                </w:p>
              </w:tc>
              <w:tc>
                <w:tcPr>
                  <w:tcW w:w="1121" w:type="pct"/>
                  <w:vMerge w:val="continue"/>
                  <w:tcBorders>
                    <w:tl2br w:val="nil"/>
                    <w:tr2bl w:val="nil"/>
                  </w:tcBorders>
                  <w:noWrap w:val="0"/>
                  <w:tcMar>
                    <w:top w:w="15" w:type="dxa"/>
                    <w:left w:w="15" w:type="dxa"/>
                    <w:right w:w="15" w:type="dxa"/>
                  </w:tcMar>
                  <w:vAlign w:val="center"/>
                </w:tcPr>
                <w:p w14:paraId="1D8B4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2FA1F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SAP</w:t>
                  </w:r>
                  <w:r>
                    <w:rPr>
                      <w:rFonts w:hint="eastAsia" w:cs="Times New Roman"/>
                      <w:color w:val="auto"/>
                      <w:vertAlign w:val="baseline"/>
                      <w:lang w:val="en-US" w:eastAsia="zh-CN"/>
                    </w:rPr>
                    <w:t>高分子吸水树脂</w:t>
                  </w:r>
                </w:p>
              </w:tc>
              <w:tc>
                <w:tcPr>
                  <w:tcW w:w="1596" w:type="pct"/>
                  <w:tcBorders>
                    <w:tl2br w:val="nil"/>
                    <w:tr2bl w:val="nil"/>
                  </w:tcBorders>
                  <w:noWrap w:val="0"/>
                  <w:tcMar>
                    <w:top w:w="15" w:type="dxa"/>
                    <w:left w:w="15" w:type="dxa"/>
                    <w:right w:w="15" w:type="dxa"/>
                  </w:tcMar>
                  <w:vAlign w:val="center"/>
                </w:tcPr>
                <w:p w14:paraId="74C07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11896D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1FADF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18</w:t>
                  </w:r>
                </w:p>
              </w:tc>
              <w:tc>
                <w:tcPr>
                  <w:tcW w:w="1121" w:type="pct"/>
                  <w:vMerge w:val="continue"/>
                  <w:tcBorders>
                    <w:tl2br w:val="nil"/>
                    <w:tr2bl w:val="nil"/>
                  </w:tcBorders>
                  <w:noWrap w:val="0"/>
                  <w:tcMar>
                    <w:top w:w="15" w:type="dxa"/>
                    <w:left w:w="15" w:type="dxa"/>
                    <w:right w:w="15" w:type="dxa"/>
                  </w:tcMar>
                  <w:vAlign w:val="center"/>
                </w:tcPr>
                <w:p w14:paraId="0F665A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45797A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氨纶丝</w:t>
                  </w:r>
                </w:p>
              </w:tc>
              <w:tc>
                <w:tcPr>
                  <w:tcW w:w="1596" w:type="pct"/>
                  <w:tcBorders>
                    <w:tl2br w:val="nil"/>
                    <w:tr2bl w:val="nil"/>
                  </w:tcBorders>
                  <w:noWrap w:val="0"/>
                  <w:tcMar>
                    <w:top w:w="15" w:type="dxa"/>
                    <w:left w:w="15" w:type="dxa"/>
                    <w:right w:w="15" w:type="dxa"/>
                  </w:tcMar>
                  <w:vAlign w:val="center"/>
                </w:tcPr>
                <w:p w14:paraId="65EA76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5CD770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6C282D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19</w:t>
                  </w:r>
                </w:p>
              </w:tc>
              <w:tc>
                <w:tcPr>
                  <w:tcW w:w="1121" w:type="pct"/>
                  <w:vMerge w:val="continue"/>
                  <w:tcBorders>
                    <w:tl2br w:val="nil"/>
                    <w:tr2bl w:val="nil"/>
                  </w:tcBorders>
                  <w:noWrap w:val="0"/>
                  <w:tcMar>
                    <w:top w:w="15" w:type="dxa"/>
                    <w:left w:w="15" w:type="dxa"/>
                    <w:right w:w="15" w:type="dxa"/>
                  </w:tcMar>
                  <w:vAlign w:val="center"/>
                </w:tcPr>
                <w:p w14:paraId="360F0E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503E6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卫生纸</w:t>
                  </w:r>
                </w:p>
              </w:tc>
              <w:tc>
                <w:tcPr>
                  <w:tcW w:w="1596" w:type="pct"/>
                  <w:tcBorders>
                    <w:tl2br w:val="nil"/>
                    <w:tr2bl w:val="nil"/>
                  </w:tcBorders>
                  <w:noWrap w:val="0"/>
                  <w:tcMar>
                    <w:top w:w="15" w:type="dxa"/>
                    <w:left w:w="15" w:type="dxa"/>
                    <w:right w:w="15" w:type="dxa"/>
                  </w:tcMar>
                  <w:vAlign w:val="center"/>
                </w:tcPr>
                <w:p w14:paraId="39031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126DD8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34AD87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宋体"/>
                      <w:color w:val="000000"/>
                      <w:szCs w:val="21"/>
                      <w:lang w:val="en-US" w:eastAsia="zh-CN"/>
                    </w:rPr>
                  </w:pPr>
                  <w:r>
                    <w:rPr>
                      <w:rFonts w:hint="eastAsia" w:cs="宋体"/>
                      <w:color w:val="000000"/>
                      <w:szCs w:val="21"/>
                      <w:lang w:val="en-US" w:eastAsia="zh-CN"/>
                    </w:rPr>
                    <w:t>20</w:t>
                  </w:r>
                </w:p>
              </w:tc>
              <w:tc>
                <w:tcPr>
                  <w:tcW w:w="1121" w:type="pct"/>
                  <w:vMerge w:val="continue"/>
                  <w:tcBorders>
                    <w:tl2br w:val="nil"/>
                    <w:tr2bl w:val="nil"/>
                  </w:tcBorders>
                  <w:noWrap w:val="0"/>
                  <w:tcMar>
                    <w:top w:w="15" w:type="dxa"/>
                    <w:left w:w="15" w:type="dxa"/>
                    <w:right w:w="15" w:type="dxa"/>
                  </w:tcMar>
                  <w:vAlign w:val="center"/>
                </w:tcPr>
                <w:p w14:paraId="33E01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18446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vertAlign w:val="baseline"/>
                      <w:lang w:val="en-US" w:eastAsia="zh-CN"/>
                    </w:rPr>
                  </w:pPr>
                  <w:r>
                    <w:rPr>
                      <w:rFonts w:hint="eastAsia" w:ascii="Times New Roman" w:hAnsi="Times New Roman" w:eastAsia="宋体" w:cs="Times New Roman"/>
                      <w:color w:val="auto"/>
                      <w:vertAlign w:val="baseline"/>
                      <w:lang w:val="en-US" w:eastAsia="zh-CN"/>
                    </w:rPr>
                    <w:t>包装袋</w:t>
                  </w:r>
                </w:p>
              </w:tc>
              <w:tc>
                <w:tcPr>
                  <w:tcW w:w="1596" w:type="pct"/>
                  <w:tcBorders>
                    <w:tl2br w:val="nil"/>
                    <w:tr2bl w:val="nil"/>
                  </w:tcBorders>
                  <w:noWrap w:val="0"/>
                  <w:tcMar>
                    <w:top w:w="15" w:type="dxa"/>
                    <w:left w:w="15" w:type="dxa"/>
                    <w:right w:w="15" w:type="dxa"/>
                  </w:tcMar>
                  <w:vAlign w:val="center"/>
                </w:tcPr>
                <w:p w14:paraId="5254D4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vertAlign w:val="baseline"/>
                      <w:lang w:val="en-US" w:eastAsia="zh-CN"/>
                    </w:rPr>
                  </w:pPr>
                </w:p>
              </w:tc>
            </w:tr>
            <w:tr w14:paraId="5A749F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27CA4F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21</w:t>
                  </w:r>
                </w:p>
              </w:tc>
              <w:tc>
                <w:tcPr>
                  <w:tcW w:w="1121" w:type="pct"/>
                  <w:vMerge w:val="continue"/>
                  <w:tcBorders>
                    <w:tl2br w:val="nil"/>
                    <w:tr2bl w:val="nil"/>
                  </w:tcBorders>
                  <w:noWrap w:val="0"/>
                  <w:tcMar>
                    <w:top w:w="15" w:type="dxa"/>
                    <w:left w:w="15" w:type="dxa"/>
                    <w:right w:w="15" w:type="dxa"/>
                  </w:tcMar>
                  <w:vAlign w:val="center"/>
                </w:tcPr>
                <w:p w14:paraId="41EE39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64C6E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vertAlign w:val="baseline"/>
                      <w:lang w:val="en-US" w:eastAsia="zh-CN"/>
                    </w:rPr>
                    <w:t>纸箱</w:t>
                  </w:r>
                </w:p>
              </w:tc>
              <w:tc>
                <w:tcPr>
                  <w:tcW w:w="1596" w:type="pct"/>
                  <w:tcBorders>
                    <w:tl2br w:val="nil"/>
                    <w:tr2bl w:val="nil"/>
                  </w:tcBorders>
                  <w:noWrap w:val="0"/>
                  <w:tcMar>
                    <w:top w:w="15" w:type="dxa"/>
                    <w:left w:w="15" w:type="dxa"/>
                    <w:right w:w="15" w:type="dxa"/>
                  </w:tcMar>
                  <w:vAlign w:val="center"/>
                </w:tcPr>
                <w:p w14:paraId="0E68EF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68409B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552E6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22</w:t>
                  </w:r>
                </w:p>
              </w:tc>
              <w:tc>
                <w:tcPr>
                  <w:tcW w:w="1121" w:type="pct"/>
                  <w:vMerge w:val="restart"/>
                  <w:tcBorders>
                    <w:tl2br w:val="nil"/>
                    <w:tr2bl w:val="nil"/>
                  </w:tcBorders>
                  <w:noWrap w:val="0"/>
                  <w:tcMar>
                    <w:top w:w="15" w:type="dxa"/>
                    <w:left w:w="15" w:type="dxa"/>
                    <w:right w:w="15" w:type="dxa"/>
                  </w:tcMar>
                  <w:vAlign w:val="center"/>
                </w:tcPr>
                <w:p w14:paraId="188CE0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护垫</w:t>
                  </w:r>
                </w:p>
              </w:tc>
              <w:tc>
                <w:tcPr>
                  <w:tcW w:w="1772" w:type="pct"/>
                  <w:tcBorders>
                    <w:tl2br w:val="nil"/>
                    <w:tr2bl w:val="nil"/>
                  </w:tcBorders>
                  <w:noWrap w:val="0"/>
                  <w:tcMar>
                    <w:top w:w="15" w:type="dxa"/>
                    <w:left w:w="15" w:type="dxa"/>
                    <w:right w:w="15" w:type="dxa"/>
                  </w:tcMar>
                  <w:vAlign w:val="center"/>
                </w:tcPr>
                <w:p w14:paraId="04D1E3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膨化纸（无尘纸）</w:t>
                  </w:r>
                </w:p>
              </w:tc>
              <w:tc>
                <w:tcPr>
                  <w:tcW w:w="1596" w:type="pct"/>
                  <w:tcBorders>
                    <w:tl2br w:val="nil"/>
                    <w:tr2bl w:val="nil"/>
                  </w:tcBorders>
                  <w:noWrap w:val="0"/>
                  <w:tcMar>
                    <w:top w:w="15" w:type="dxa"/>
                    <w:left w:w="15" w:type="dxa"/>
                    <w:right w:w="15" w:type="dxa"/>
                  </w:tcMar>
                  <w:vAlign w:val="center"/>
                </w:tcPr>
                <w:p w14:paraId="4D6FB8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1E4191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4923E3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23</w:t>
                  </w:r>
                </w:p>
              </w:tc>
              <w:tc>
                <w:tcPr>
                  <w:tcW w:w="1121" w:type="pct"/>
                  <w:vMerge w:val="continue"/>
                  <w:tcBorders>
                    <w:tl2br w:val="nil"/>
                    <w:tr2bl w:val="nil"/>
                  </w:tcBorders>
                  <w:noWrap w:val="0"/>
                  <w:tcMar>
                    <w:top w:w="15" w:type="dxa"/>
                    <w:left w:w="15" w:type="dxa"/>
                    <w:right w:w="15" w:type="dxa"/>
                  </w:tcMar>
                  <w:vAlign w:val="center"/>
                </w:tcPr>
                <w:p w14:paraId="02836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62EC6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vertAlign w:val="baseline"/>
                      <w:lang w:val="en-US" w:eastAsia="zh-CN"/>
                    </w:rPr>
                    <w:t>无纺布</w:t>
                  </w:r>
                </w:p>
              </w:tc>
              <w:tc>
                <w:tcPr>
                  <w:tcW w:w="1596" w:type="pct"/>
                  <w:tcBorders>
                    <w:tl2br w:val="nil"/>
                    <w:tr2bl w:val="nil"/>
                  </w:tcBorders>
                  <w:noWrap w:val="0"/>
                  <w:tcMar>
                    <w:top w:w="15" w:type="dxa"/>
                    <w:left w:w="15" w:type="dxa"/>
                    <w:right w:w="15" w:type="dxa"/>
                  </w:tcMar>
                  <w:vAlign w:val="center"/>
                </w:tcPr>
                <w:p w14:paraId="54BE8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304EE7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55D2AE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24</w:t>
                  </w:r>
                </w:p>
              </w:tc>
              <w:tc>
                <w:tcPr>
                  <w:tcW w:w="1121" w:type="pct"/>
                  <w:vMerge w:val="continue"/>
                  <w:tcBorders>
                    <w:tl2br w:val="nil"/>
                    <w:tr2bl w:val="nil"/>
                  </w:tcBorders>
                  <w:noWrap w:val="0"/>
                  <w:tcMar>
                    <w:top w:w="15" w:type="dxa"/>
                    <w:left w:w="15" w:type="dxa"/>
                    <w:right w:w="15" w:type="dxa"/>
                  </w:tcMar>
                  <w:vAlign w:val="center"/>
                </w:tcPr>
                <w:p w14:paraId="38862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3524A8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vertAlign w:val="baseline"/>
                      <w:lang w:val="en-US" w:eastAsia="zh-CN"/>
                    </w:rPr>
                    <w:t>PE膜（含透气膜和流延膜）</w:t>
                  </w:r>
                </w:p>
              </w:tc>
              <w:tc>
                <w:tcPr>
                  <w:tcW w:w="1596" w:type="pct"/>
                  <w:tcBorders>
                    <w:tl2br w:val="nil"/>
                    <w:tr2bl w:val="nil"/>
                  </w:tcBorders>
                  <w:noWrap w:val="0"/>
                  <w:tcMar>
                    <w:top w:w="15" w:type="dxa"/>
                    <w:left w:w="15" w:type="dxa"/>
                    <w:right w:w="15" w:type="dxa"/>
                  </w:tcMar>
                  <w:vAlign w:val="center"/>
                </w:tcPr>
                <w:p w14:paraId="2D4C3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339587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7BB7D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25</w:t>
                  </w:r>
                </w:p>
              </w:tc>
              <w:tc>
                <w:tcPr>
                  <w:tcW w:w="1121" w:type="pct"/>
                  <w:vMerge w:val="continue"/>
                  <w:tcBorders>
                    <w:tl2br w:val="nil"/>
                    <w:tr2bl w:val="nil"/>
                  </w:tcBorders>
                  <w:noWrap w:val="0"/>
                  <w:tcMar>
                    <w:top w:w="15" w:type="dxa"/>
                    <w:left w:w="15" w:type="dxa"/>
                    <w:right w:w="15" w:type="dxa"/>
                  </w:tcMar>
                  <w:vAlign w:val="center"/>
                </w:tcPr>
                <w:p w14:paraId="56B09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48A36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热熔胶</w:t>
                  </w:r>
                </w:p>
              </w:tc>
              <w:tc>
                <w:tcPr>
                  <w:tcW w:w="1596" w:type="pct"/>
                  <w:tcBorders>
                    <w:tl2br w:val="nil"/>
                    <w:tr2bl w:val="nil"/>
                  </w:tcBorders>
                  <w:noWrap w:val="0"/>
                  <w:tcMar>
                    <w:top w:w="15" w:type="dxa"/>
                    <w:left w:w="15" w:type="dxa"/>
                    <w:right w:w="15" w:type="dxa"/>
                  </w:tcMar>
                  <w:vAlign w:val="center"/>
                </w:tcPr>
                <w:p w14:paraId="12004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04CA4C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09" w:type="pct"/>
                  <w:tcBorders>
                    <w:tl2br w:val="nil"/>
                    <w:tr2bl w:val="nil"/>
                  </w:tcBorders>
                  <w:noWrap w:val="0"/>
                  <w:tcMar>
                    <w:top w:w="15" w:type="dxa"/>
                    <w:left w:w="15" w:type="dxa"/>
                    <w:right w:w="15" w:type="dxa"/>
                  </w:tcMar>
                  <w:vAlign w:val="center"/>
                </w:tcPr>
                <w:p w14:paraId="2141C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26</w:t>
                  </w:r>
                </w:p>
              </w:tc>
              <w:tc>
                <w:tcPr>
                  <w:tcW w:w="1121" w:type="pct"/>
                  <w:vMerge w:val="continue"/>
                  <w:tcBorders>
                    <w:tl2br w:val="nil"/>
                    <w:tr2bl w:val="nil"/>
                  </w:tcBorders>
                  <w:noWrap w:val="0"/>
                  <w:tcMar>
                    <w:top w:w="15" w:type="dxa"/>
                    <w:left w:w="15" w:type="dxa"/>
                    <w:right w:w="15" w:type="dxa"/>
                  </w:tcMar>
                  <w:vAlign w:val="center"/>
                </w:tcPr>
                <w:p w14:paraId="45B6D2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tcBorders>
                    <w:tl2br w:val="nil"/>
                    <w:tr2bl w:val="nil"/>
                  </w:tcBorders>
                  <w:noWrap w:val="0"/>
                  <w:tcMar>
                    <w:top w:w="15" w:type="dxa"/>
                    <w:left w:w="15" w:type="dxa"/>
                    <w:right w:w="15" w:type="dxa"/>
                  </w:tcMar>
                  <w:vAlign w:val="center"/>
                </w:tcPr>
                <w:p w14:paraId="05FAE9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color w:val="auto"/>
                      <w:vertAlign w:val="baseline"/>
                      <w:lang w:val="en-US" w:eastAsia="zh-CN"/>
                    </w:rPr>
                    <w:t>离型纸</w:t>
                  </w:r>
                </w:p>
              </w:tc>
              <w:tc>
                <w:tcPr>
                  <w:tcW w:w="1596" w:type="pct"/>
                  <w:tcBorders>
                    <w:tl2br w:val="nil"/>
                    <w:tr2bl w:val="nil"/>
                  </w:tcBorders>
                  <w:noWrap w:val="0"/>
                  <w:tcMar>
                    <w:top w:w="15" w:type="dxa"/>
                    <w:left w:w="15" w:type="dxa"/>
                    <w:right w:w="15" w:type="dxa"/>
                  </w:tcMar>
                  <w:vAlign w:val="center"/>
                </w:tcPr>
                <w:p w14:paraId="564BEF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5577E7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3" w:hRule="atLeast"/>
                <w:jc w:val="center"/>
              </w:trPr>
              <w:tc>
                <w:tcPr>
                  <w:tcW w:w="0" w:type="auto"/>
                  <w:noWrap w:val="0"/>
                  <w:vAlign w:val="center"/>
                </w:tcPr>
                <w:p w14:paraId="30F972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27</w:t>
                  </w:r>
                </w:p>
              </w:tc>
              <w:tc>
                <w:tcPr>
                  <w:tcW w:w="1121" w:type="pct"/>
                  <w:vMerge w:val="continue"/>
                  <w:noWrap w:val="0"/>
                  <w:vAlign w:val="center"/>
                </w:tcPr>
                <w:p w14:paraId="71B19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noWrap w:val="0"/>
                  <w:vAlign w:val="center"/>
                </w:tcPr>
                <w:p w14:paraId="5930EA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vertAlign w:val="baseline"/>
                      <w:lang w:val="en-US" w:eastAsia="zh-CN"/>
                    </w:rPr>
                    <w:t>包装袋</w:t>
                  </w:r>
                </w:p>
              </w:tc>
              <w:tc>
                <w:tcPr>
                  <w:tcW w:w="1596" w:type="pct"/>
                  <w:noWrap w:val="0"/>
                  <w:vAlign w:val="center"/>
                </w:tcPr>
                <w:p w14:paraId="2A1CA1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1"/>
                      <w:vertAlign w:val="baseline"/>
                      <w:lang w:val="en-US" w:eastAsia="zh-CN" w:bidi="ar-SA"/>
                    </w:rPr>
                  </w:pPr>
                </w:p>
              </w:tc>
            </w:tr>
            <w:tr w14:paraId="267323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noWrap w:val="0"/>
                  <w:vAlign w:val="center"/>
                </w:tcPr>
                <w:p w14:paraId="5B3C92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28</w:t>
                  </w:r>
                </w:p>
              </w:tc>
              <w:tc>
                <w:tcPr>
                  <w:tcW w:w="1121" w:type="pct"/>
                  <w:vMerge w:val="continue"/>
                  <w:noWrap w:val="0"/>
                  <w:vAlign w:val="center"/>
                </w:tcPr>
                <w:p w14:paraId="0323D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sz w:val="21"/>
                      <w:szCs w:val="21"/>
                      <w:lang w:val="en-US" w:eastAsia="zh-CN"/>
                    </w:rPr>
                  </w:pPr>
                </w:p>
              </w:tc>
              <w:tc>
                <w:tcPr>
                  <w:tcW w:w="1772" w:type="pct"/>
                  <w:noWrap w:val="0"/>
                  <w:vAlign w:val="center"/>
                </w:tcPr>
                <w:p w14:paraId="354DC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vertAlign w:val="baseline"/>
                      <w:lang w:val="en-US" w:eastAsia="zh-CN"/>
                    </w:rPr>
                    <w:t>纸箱</w:t>
                  </w:r>
                </w:p>
              </w:tc>
              <w:tc>
                <w:tcPr>
                  <w:tcW w:w="1596" w:type="pct"/>
                  <w:noWrap w:val="0"/>
                  <w:vAlign w:val="center"/>
                </w:tcPr>
                <w:p w14:paraId="2EE127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1"/>
                      <w:vertAlign w:val="baseline"/>
                      <w:lang w:val="en-US" w:eastAsia="zh-CN" w:bidi="ar-SA"/>
                    </w:rPr>
                  </w:pPr>
                </w:p>
              </w:tc>
            </w:tr>
            <w:tr w14:paraId="28AA15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noWrap w:val="0"/>
                  <w:vAlign w:val="center"/>
                </w:tcPr>
                <w:p w14:paraId="3487E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29</w:t>
                  </w:r>
                </w:p>
              </w:tc>
              <w:tc>
                <w:tcPr>
                  <w:tcW w:w="2893" w:type="pct"/>
                  <w:gridSpan w:val="2"/>
                  <w:noWrap w:val="0"/>
                  <w:vAlign w:val="center"/>
                </w:tcPr>
                <w:p w14:paraId="4149FB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水</w:t>
                  </w:r>
                </w:p>
              </w:tc>
              <w:tc>
                <w:tcPr>
                  <w:tcW w:w="1596" w:type="pct"/>
                  <w:noWrap w:val="0"/>
                  <w:vAlign w:val="center"/>
                </w:tcPr>
                <w:p w14:paraId="3D287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4770</w:t>
                  </w:r>
                </w:p>
              </w:tc>
            </w:tr>
            <w:tr w14:paraId="106FFB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0" w:type="auto"/>
                  <w:noWrap w:val="0"/>
                  <w:vAlign w:val="center"/>
                </w:tcPr>
                <w:p w14:paraId="11781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000000"/>
                      <w:kern w:val="2"/>
                      <w:sz w:val="21"/>
                      <w:szCs w:val="21"/>
                      <w:lang w:val="en-US" w:eastAsia="zh-CN" w:bidi="ar-SA"/>
                    </w:rPr>
                  </w:pPr>
                  <w:r>
                    <w:rPr>
                      <w:rFonts w:hint="eastAsia" w:cs="宋体"/>
                      <w:color w:val="000000"/>
                      <w:szCs w:val="21"/>
                      <w:lang w:val="en-US" w:eastAsia="zh-CN"/>
                    </w:rPr>
                    <w:t>30</w:t>
                  </w:r>
                </w:p>
              </w:tc>
              <w:tc>
                <w:tcPr>
                  <w:tcW w:w="2893" w:type="pct"/>
                  <w:gridSpan w:val="2"/>
                  <w:noWrap w:val="0"/>
                  <w:vAlign w:val="center"/>
                </w:tcPr>
                <w:p w14:paraId="3F1EF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电（kwh/年）</w:t>
                  </w:r>
                </w:p>
              </w:tc>
              <w:tc>
                <w:tcPr>
                  <w:tcW w:w="1596" w:type="pct"/>
                  <w:noWrap w:val="0"/>
                  <w:vAlign w:val="center"/>
                </w:tcPr>
                <w:p w14:paraId="424E54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300万</w:t>
                  </w:r>
                </w:p>
              </w:tc>
            </w:tr>
          </w:tbl>
          <w:p w14:paraId="01F280C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leftChars="0" w:right="0"/>
              <w:jc w:val="both"/>
              <w:textAlignment w:val="auto"/>
              <w:rPr>
                <w:rFonts w:hint="default" w:ascii="Times New Roman" w:hAnsi="Times New Roman" w:eastAsia="宋体" w:cs="宋体"/>
                <w:b/>
                <w:bCs/>
                <w:color w:val="000000"/>
                <w:sz w:val="24"/>
                <w:lang w:val="en-US" w:eastAsia="zh-CN"/>
              </w:rPr>
            </w:pPr>
            <w:r>
              <w:rPr>
                <w:rFonts w:hint="eastAsia" w:ascii="Times New Roman" w:hAnsi="Times New Roman" w:eastAsia="宋体" w:cs="宋体"/>
                <w:b/>
                <w:bCs/>
                <w:color w:val="000000"/>
                <w:sz w:val="21"/>
                <w:szCs w:val="21"/>
                <w:lang w:val="en-US" w:eastAsia="zh-CN"/>
              </w:rPr>
              <w:t>主要原辅材料理化性质：</w:t>
            </w:r>
          </w:p>
          <w:p w14:paraId="52F18ABB">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2" w:firstLineChars="200"/>
              <w:textAlignment w:val="auto"/>
              <w:rPr>
                <w:rFonts w:hint="eastAsia" w:cs="Times New Roman"/>
                <w:b/>
                <w:bCs/>
                <w:color w:val="000000"/>
                <w:lang w:val="en-US" w:eastAsia="zh-CN"/>
              </w:rPr>
            </w:pPr>
            <w:r>
              <w:rPr>
                <w:rFonts w:hint="eastAsia" w:cs="Times New Roman"/>
                <w:b/>
                <w:bCs/>
                <w:color w:val="000000"/>
                <w:lang w:val="en-US" w:eastAsia="zh-CN"/>
              </w:rPr>
              <w:t>热熔胶：</w:t>
            </w:r>
          </w:p>
          <w:p w14:paraId="0E25797C">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2" w:firstLineChars="200"/>
              <w:textAlignment w:val="auto"/>
              <w:rPr>
                <w:rFonts w:hint="default" w:cs="Times New Roman"/>
                <w:b/>
                <w:bCs/>
                <w:color w:val="000000"/>
                <w:lang w:val="en-US" w:eastAsia="zh-CN"/>
              </w:rPr>
            </w:pPr>
          </w:p>
          <w:p w14:paraId="4724429F">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2" w:firstLineChars="200"/>
              <w:textAlignment w:val="auto"/>
              <w:rPr>
                <w:rFonts w:hint="default" w:cs="Times New Roman"/>
                <w:b/>
                <w:bCs/>
                <w:color w:val="000000"/>
                <w:lang w:val="en-US" w:eastAsia="zh-CN"/>
              </w:rPr>
            </w:pPr>
          </w:p>
          <w:p w14:paraId="1CBDF79E">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22" w:firstLineChars="200"/>
              <w:textAlignment w:val="auto"/>
              <w:rPr>
                <w:rFonts w:hint="default" w:cs="Times New Roman"/>
                <w:b/>
                <w:bCs/>
                <w:color w:val="000000"/>
                <w:lang w:val="en-US" w:eastAsia="zh-CN"/>
              </w:rPr>
            </w:pPr>
          </w:p>
          <w:p w14:paraId="0EFD6E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宋体"/>
                <w:b/>
                <w:bCs/>
                <w:color w:val="000000"/>
                <w:sz w:val="24"/>
                <w:szCs w:val="24"/>
                <w:lang w:val="en-US" w:eastAsia="zh-CN"/>
              </w:rPr>
            </w:pPr>
            <w:r>
              <w:rPr>
                <w:rFonts w:hint="eastAsia" w:ascii="Times New Roman" w:hAnsi="Times New Roman" w:eastAsia="宋体" w:cs="宋体"/>
                <w:b/>
                <w:bCs/>
                <w:color w:val="000000"/>
                <w:sz w:val="24"/>
                <w:szCs w:val="24"/>
                <w:lang w:val="en-US" w:eastAsia="zh-CN"/>
              </w:rPr>
              <w:t>2.</w:t>
            </w:r>
            <w:r>
              <w:rPr>
                <w:rFonts w:hint="eastAsia" w:cs="宋体"/>
                <w:b/>
                <w:bCs/>
                <w:color w:val="000000"/>
                <w:sz w:val="24"/>
                <w:szCs w:val="24"/>
                <w:lang w:val="en-US" w:eastAsia="zh-CN"/>
              </w:rPr>
              <w:t>5</w:t>
            </w:r>
            <w:r>
              <w:rPr>
                <w:rFonts w:hint="eastAsia" w:ascii="Times New Roman" w:hAnsi="Times New Roman" w:eastAsia="宋体" w:cs="宋体"/>
                <w:b/>
                <w:bCs/>
                <w:color w:val="000000"/>
                <w:sz w:val="24"/>
                <w:szCs w:val="24"/>
                <w:lang w:val="en-US" w:eastAsia="zh-CN"/>
              </w:rPr>
              <w:t xml:space="preserve"> 项目主要生产设备</w:t>
            </w:r>
          </w:p>
          <w:p w14:paraId="3C6189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宋体"/>
                <w:color w:val="000000"/>
                <w:sz w:val="24"/>
              </w:rPr>
            </w:pPr>
            <w:r>
              <w:rPr>
                <w:rFonts w:hint="eastAsia" w:ascii="Times New Roman" w:hAnsi="Times New Roman" w:eastAsia="宋体" w:cs="宋体"/>
                <w:color w:val="000000"/>
                <w:sz w:val="21"/>
                <w:szCs w:val="21"/>
              </w:rPr>
              <w:t>项目主要生产设备</w:t>
            </w:r>
            <w:r>
              <w:rPr>
                <w:rFonts w:hint="eastAsia" w:ascii="Times New Roman" w:hAnsi="Times New Roman" w:eastAsia="宋体" w:cs="宋体"/>
                <w:color w:val="000000"/>
                <w:sz w:val="21"/>
                <w:szCs w:val="21"/>
                <w:lang w:eastAsia="zh-CN"/>
              </w:rPr>
              <w:t>见</w:t>
            </w:r>
            <w:r>
              <w:rPr>
                <w:rFonts w:hint="eastAsia" w:ascii="Times New Roman" w:hAnsi="Times New Roman" w:eastAsia="宋体" w:cs="宋体"/>
                <w:b/>
                <w:bCs/>
                <w:color w:val="000000"/>
                <w:sz w:val="21"/>
                <w:szCs w:val="21"/>
                <w:lang w:eastAsia="zh-CN"/>
              </w:rPr>
              <w:t>表</w:t>
            </w:r>
            <w:r>
              <w:rPr>
                <w:rFonts w:hint="eastAsia" w:ascii="Times New Roman" w:hAnsi="Times New Roman" w:eastAsia="宋体" w:cs="宋体"/>
                <w:b/>
                <w:bCs/>
                <w:color w:val="000000"/>
                <w:sz w:val="21"/>
                <w:szCs w:val="21"/>
                <w:lang w:val="en-US" w:eastAsia="zh-CN"/>
              </w:rPr>
              <w:t>2-</w:t>
            </w:r>
            <w:r>
              <w:rPr>
                <w:rFonts w:hint="eastAsia" w:cs="宋体"/>
                <w:b/>
                <w:bCs/>
                <w:color w:val="000000"/>
                <w:sz w:val="21"/>
                <w:szCs w:val="21"/>
                <w:lang w:val="en-US" w:eastAsia="zh-CN"/>
              </w:rPr>
              <w:t>4</w:t>
            </w:r>
            <w:r>
              <w:rPr>
                <w:rFonts w:hint="eastAsia" w:ascii="Times New Roman" w:hAnsi="Times New Roman" w:cs="Times New Roman"/>
                <w:color w:val="000000"/>
                <w:lang w:val="en-US" w:eastAsia="zh-CN"/>
              </w:rPr>
              <w:t>。</w:t>
            </w:r>
          </w:p>
          <w:p w14:paraId="446FC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b/>
                <w:color w:val="000000"/>
                <w:sz w:val="24"/>
              </w:rPr>
            </w:pPr>
            <w:r>
              <w:rPr>
                <w:rFonts w:hint="eastAsia" w:ascii="Times New Roman" w:hAnsi="Times New Roman" w:eastAsia="宋体" w:cs="宋体"/>
                <w:b/>
                <w:color w:val="000000"/>
                <w:sz w:val="21"/>
                <w:szCs w:val="21"/>
              </w:rPr>
              <w:t>表</w:t>
            </w:r>
            <w:r>
              <w:rPr>
                <w:rFonts w:hint="eastAsia" w:ascii="Times New Roman" w:hAnsi="Times New Roman" w:eastAsia="宋体" w:cs="宋体"/>
                <w:b/>
                <w:color w:val="000000"/>
                <w:sz w:val="21"/>
                <w:szCs w:val="21"/>
                <w:lang w:val="en-US" w:eastAsia="zh-CN"/>
              </w:rPr>
              <w:t>2</w:t>
            </w:r>
            <w:r>
              <w:rPr>
                <w:rFonts w:hint="eastAsia" w:cs="宋体"/>
                <w:b/>
                <w:color w:val="000000"/>
                <w:sz w:val="21"/>
                <w:szCs w:val="21"/>
                <w:lang w:val="en-US" w:eastAsia="zh-CN"/>
              </w:rPr>
              <w:t>-4</w:t>
            </w:r>
            <w:r>
              <w:rPr>
                <w:rFonts w:hint="eastAsia" w:ascii="Times New Roman" w:hAnsi="Times New Roman" w:eastAsia="宋体" w:cs="宋体"/>
                <w:b/>
                <w:color w:val="000000"/>
                <w:sz w:val="21"/>
                <w:szCs w:val="21"/>
                <w:lang w:val="en-US" w:eastAsia="zh-CN"/>
              </w:rPr>
              <w:t xml:space="preserve"> </w:t>
            </w:r>
            <w:r>
              <w:rPr>
                <w:rFonts w:hint="eastAsia" w:cs="宋体"/>
                <w:b/>
                <w:color w:val="000000"/>
                <w:sz w:val="21"/>
                <w:szCs w:val="21"/>
                <w:lang w:val="en-US" w:eastAsia="zh-CN"/>
              </w:rPr>
              <w:t xml:space="preserve"> </w:t>
            </w:r>
            <w:r>
              <w:rPr>
                <w:rFonts w:hint="eastAsia" w:ascii="Times New Roman" w:hAnsi="Times New Roman" w:eastAsia="宋体" w:cs="宋体"/>
                <w:b/>
                <w:color w:val="000000"/>
                <w:sz w:val="21"/>
                <w:szCs w:val="21"/>
              </w:rPr>
              <w:t>项目主要生产设备</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961"/>
              <w:gridCol w:w="1914"/>
              <w:gridCol w:w="3159"/>
              <w:gridCol w:w="2076"/>
            </w:tblGrid>
            <w:tr w14:paraId="02F7CA0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61" w:type="dxa"/>
                  <w:tcBorders>
                    <w:tl2br w:val="nil"/>
                    <w:tr2bl w:val="nil"/>
                  </w:tcBorders>
                  <w:noWrap w:val="0"/>
                  <w:vAlign w:val="center"/>
                </w:tcPr>
                <w:p w14:paraId="72A21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序号</w:t>
                  </w:r>
                </w:p>
              </w:tc>
              <w:tc>
                <w:tcPr>
                  <w:tcW w:w="1914" w:type="dxa"/>
                  <w:tcBorders>
                    <w:tl2br w:val="nil"/>
                    <w:tr2bl w:val="nil"/>
                  </w:tcBorders>
                  <w:noWrap w:val="0"/>
                  <w:vAlign w:val="center"/>
                </w:tcPr>
                <w:p w14:paraId="166B9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color w:val="000000"/>
                      <w:sz w:val="21"/>
                      <w:szCs w:val="21"/>
                      <w:lang w:eastAsia="zh-CN"/>
                    </w:rPr>
                  </w:pPr>
                  <w:r>
                    <w:rPr>
                      <w:rFonts w:hint="eastAsia" w:cs="Times New Roman"/>
                      <w:b/>
                      <w:bCs/>
                      <w:color w:val="000000"/>
                      <w:sz w:val="21"/>
                      <w:szCs w:val="21"/>
                      <w:lang w:eastAsia="zh-CN"/>
                    </w:rPr>
                    <w:t>所在位置</w:t>
                  </w:r>
                </w:p>
              </w:tc>
              <w:tc>
                <w:tcPr>
                  <w:tcW w:w="3159" w:type="dxa"/>
                  <w:tcBorders>
                    <w:tl2br w:val="nil"/>
                    <w:tr2bl w:val="nil"/>
                  </w:tcBorders>
                  <w:noWrap w:val="0"/>
                  <w:vAlign w:val="center"/>
                </w:tcPr>
                <w:p w14:paraId="66ED2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设备名称</w:t>
                  </w:r>
                </w:p>
              </w:tc>
              <w:tc>
                <w:tcPr>
                  <w:tcW w:w="2076" w:type="dxa"/>
                  <w:tcBorders>
                    <w:tl2br w:val="nil"/>
                    <w:tr2bl w:val="nil"/>
                  </w:tcBorders>
                  <w:noWrap w:val="0"/>
                  <w:vAlign w:val="center"/>
                </w:tcPr>
                <w:p w14:paraId="32F50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color w:val="000000"/>
                      <w:sz w:val="21"/>
                      <w:szCs w:val="21"/>
                      <w:lang w:eastAsia="zh-CN"/>
                    </w:rPr>
                  </w:pPr>
                  <w:r>
                    <w:rPr>
                      <w:rFonts w:hint="default" w:ascii="Times New Roman" w:hAnsi="Times New Roman" w:cs="Times New Roman"/>
                      <w:b/>
                      <w:bCs/>
                      <w:color w:val="000000"/>
                      <w:sz w:val="21"/>
                      <w:szCs w:val="21"/>
                    </w:rPr>
                    <w:t>数量</w:t>
                  </w:r>
                  <w:r>
                    <w:rPr>
                      <w:rFonts w:hint="eastAsia" w:cs="Times New Roman"/>
                      <w:b/>
                      <w:bCs/>
                      <w:color w:val="000000"/>
                      <w:sz w:val="21"/>
                      <w:szCs w:val="21"/>
                      <w:lang w:eastAsia="zh-CN"/>
                    </w:rPr>
                    <w:t>（台</w:t>
                  </w:r>
                  <w:r>
                    <w:rPr>
                      <w:rFonts w:hint="eastAsia" w:cs="Times New Roman"/>
                      <w:b/>
                      <w:bCs/>
                      <w:color w:val="000000"/>
                      <w:sz w:val="21"/>
                      <w:szCs w:val="21"/>
                      <w:lang w:val="en-US" w:eastAsia="zh-CN"/>
                    </w:rPr>
                    <w:t>/条</w:t>
                  </w:r>
                  <w:r>
                    <w:rPr>
                      <w:rFonts w:hint="eastAsia" w:cs="Times New Roman"/>
                      <w:b/>
                      <w:bCs/>
                      <w:color w:val="000000"/>
                      <w:sz w:val="21"/>
                      <w:szCs w:val="21"/>
                      <w:lang w:eastAsia="zh-CN"/>
                    </w:rPr>
                    <w:t>）</w:t>
                  </w:r>
                </w:p>
              </w:tc>
            </w:tr>
            <w:tr w14:paraId="49FB3FF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61" w:type="dxa"/>
                  <w:tcBorders>
                    <w:tl2br w:val="nil"/>
                    <w:tr2bl w:val="nil"/>
                  </w:tcBorders>
                  <w:noWrap w:val="0"/>
                  <w:vAlign w:val="center"/>
                </w:tcPr>
                <w:p w14:paraId="03F092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bookmarkStart w:id="3" w:name="OLE_LINK15" w:colFirst="2" w:colLast="2"/>
                  <w:bookmarkStart w:id="4" w:name="OLE_LINK19" w:colFirst="1" w:colLast="1"/>
                  <w:bookmarkStart w:id="5" w:name="OLE_LINK16" w:colFirst="3" w:colLast="3"/>
                  <w:r>
                    <w:rPr>
                      <w:rFonts w:hint="default" w:ascii="Times New Roman" w:hAnsi="Times New Roman" w:cs="Times New Roman"/>
                      <w:color w:val="000000"/>
                      <w:sz w:val="21"/>
                      <w:szCs w:val="21"/>
                    </w:rPr>
                    <w:t>1</w:t>
                  </w:r>
                </w:p>
              </w:tc>
              <w:tc>
                <w:tcPr>
                  <w:tcW w:w="1914" w:type="dxa"/>
                  <w:vMerge w:val="restart"/>
                  <w:tcBorders>
                    <w:tl2br w:val="nil"/>
                    <w:tr2bl w:val="nil"/>
                  </w:tcBorders>
                  <w:noWrap w:val="0"/>
                  <w:vAlign w:val="center"/>
                </w:tcPr>
                <w:p w14:paraId="5DEFC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生产车间</w:t>
                  </w:r>
                </w:p>
              </w:tc>
              <w:tc>
                <w:tcPr>
                  <w:tcW w:w="3159" w:type="dxa"/>
                  <w:tcBorders>
                    <w:tl2br w:val="nil"/>
                    <w:tr2bl w:val="nil"/>
                  </w:tcBorders>
                  <w:noWrap w:val="0"/>
                  <w:vAlign w:val="center"/>
                </w:tcPr>
                <w:p w14:paraId="5A39BE1B">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p>
              </w:tc>
              <w:tc>
                <w:tcPr>
                  <w:tcW w:w="2076" w:type="dxa"/>
                  <w:tcBorders>
                    <w:tl2br w:val="nil"/>
                    <w:tr2bl w:val="nil"/>
                  </w:tcBorders>
                  <w:noWrap w:val="0"/>
                  <w:vAlign w:val="center"/>
                </w:tcPr>
                <w:p w14:paraId="4827879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p>
              </w:tc>
            </w:tr>
            <w:tr w14:paraId="0DDA987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61" w:type="dxa"/>
                  <w:tcBorders>
                    <w:tl2br w:val="nil"/>
                    <w:tr2bl w:val="nil"/>
                  </w:tcBorders>
                  <w:noWrap w:val="0"/>
                  <w:vAlign w:val="center"/>
                </w:tcPr>
                <w:p w14:paraId="6A101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w:t>
                  </w:r>
                </w:p>
              </w:tc>
              <w:tc>
                <w:tcPr>
                  <w:tcW w:w="1914" w:type="dxa"/>
                  <w:vMerge w:val="continue"/>
                  <w:tcBorders>
                    <w:tl2br w:val="nil"/>
                    <w:tr2bl w:val="nil"/>
                  </w:tcBorders>
                  <w:noWrap w:val="0"/>
                  <w:vAlign w:val="center"/>
                </w:tcPr>
                <w:p w14:paraId="3D487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color w:val="000000"/>
                      <w:sz w:val="21"/>
                      <w:szCs w:val="21"/>
                      <w:lang w:eastAsia="zh-CN"/>
                    </w:rPr>
                  </w:pPr>
                </w:p>
              </w:tc>
              <w:tc>
                <w:tcPr>
                  <w:tcW w:w="3159" w:type="dxa"/>
                  <w:tcBorders>
                    <w:tl2br w:val="nil"/>
                    <w:tr2bl w:val="nil"/>
                  </w:tcBorders>
                  <w:noWrap w:val="0"/>
                  <w:vAlign w:val="center"/>
                </w:tcPr>
                <w:p w14:paraId="5B5029CD">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p>
              </w:tc>
              <w:tc>
                <w:tcPr>
                  <w:tcW w:w="2076" w:type="dxa"/>
                  <w:tcBorders>
                    <w:tl2br w:val="nil"/>
                    <w:tr2bl w:val="nil"/>
                  </w:tcBorders>
                  <w:noWrap w:val="0"/>
                  <w:vAlign w:val="center"/>
                </w:tcPr>
                <w:p w14:paraId="3C20F6C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p>
              </w:tc>
            </w:tr>
            <w:tr w14:paraId="41B181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61" w:type="dxa"/>
                  <w:tcBorders>
                    <w:tl2br w:val="nil"/>
                    <w:tr2bl w:val="nil"/>
                  </w:tcBorders>
                  <w:noWrap w:val="0"/>
                  <w:vAlign w:val="center"/>
                </w:tcPr>
                <w:p w14:paraId="38206A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3</w:t>
                  </w:r>
                </w:p>
              </w:tc>
              <w:tc>
                <w:tcPr>
                  <w:tcW w:w="1914" w:type="dxa"/>
                  <w:vMerge w:val="continue"/>
                  <w:tcBorders>
                    <w:tl2br w:val="nil"/>
                    <w:tr2bl w:val="nil"/>
                  </w:tcBorders>
                  <w:noWrap w:val="0"/>
                  <w:vAlign w:val="center"/>
                </w:tcPr>
                <w:p w14:paraId="7D53B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color w:val="000000"/>
                      <w:sz w:val="21"/>
                      <w:szCs w:val="21"/>
                      <w:lang w:eastAsia="zh-CN"/>
                    </w:rPr>
                  </w:pPr>
                </w:p>
              </w:tc>
              <w:tc>
                <w:tcPr>
                  <w:tcW w:w="3159" w:type="dxa"/>
                  <w:tcBorders>
                    <w:tl2br w:val="nil"/>
                    <w:tr2bl w:val="nil"/>
                  </w:tcBorders>
                  <w:noWrap w:val="0"/>
                  <w:vAlign w:val="center"/>
                </w:tcPr>
                <w:p w14:paraId="7199D4F7">
                  <w:pPr>
                    <w:keepNext w:val="0"/>
                    <w:keepLines w:val="0"/>
                    <w:suppressLineNumbers w:val="0"/>
                    <w:spacing w:before="0" w:beforeAutospacing="0" w:after="0" w:afterAutospacing="0" w:line="240" w:lineRule="auto"/>
                    <w:ind w:left="0" w:leftChars="0" w:right="0" w:rightChars="0"/>
                    <w:jc w:val="center"/>
                    <w:rPr>
                      <w:rFonts w:hint="default" w:cs="Times New Roman"/>
                      <w:color w:val="000000"/>
                      <w:sz w:val="21"/>
                      <w:szCs w:val="21"/>
                      <w:lang w:val="en-US" w:eastAsia="zh-CN"/>
                    </w:rPr>
                  </w:pPr>
                </w:p>
              </w:tc>
              <w:tc>
                <w:tcPr>
                  <w:tcW w:w="2076" w:type="dxa"/>
                  <w:tcBorders>
                    <w:tl2br w:val="nil"/>
                    <w:tr2bl w:val="nil"/>
                  </w:tcBorders>
                  <w:noWrap w:val="0"/>
                  <w:vAlign w:val="center"/>
                </w:tcPr>
                <w:p w14:paraId="5A30BBE9">
                  <w:pPr>
                    <w:keepNext w:val="0"/>
                    <w:keepLines w:val="0"/>
                    <w:suppressLineNumbers w:val="0"/>
                    <w:spacing w:before="0" w:beforeAutospacing="0" w:after="0" w:afterAutospacing="0" w:line="240" w:lineRule="auto"/>
                    <w:ind w:left="0" w:leftChars="0" w:right="0" w:rightChars="0"/>
                    <w:jc w:val="center"/>
                    <w:rPr>
                      <w:rFonts w:hint="default" w:cs="Times New Roman"/>
                      <w:color w:val="000000"/>
                      <w:sz w:val="21"/>
                      <w:szCs w:val="21"/>
                      <w:lang w:val="en-US" w:eastAsia="zh-CN"/>
                    </w:rPr>
                  </w:pPr>
                </w:p>
              </w:tc>
            </w:tr>
            <w:tr w14:paraId="4F48504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40" w:hRule="atLeast"/>
                <w:jc w:val="center"/>
              </w:trPr>
              <w:tc>
                <w:tcPr>
                  <w:tcW w:w="961" w:type="dxa"/>
                  <w:tcBorders>
                    <w:tl2br w:val="nil"/>
                    <w:tr2bl w:val="nil"/>
                  </w:tcBorders>
                  <w:noWrap w:val="0"/>
                  <w:vAlign w:val="center"/>
                </w:tcPr>
                <w:p w14:paraId="21B7B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4</w:t>
                  </w:r>
                </w:p>
              </w:tc>
              <w:tc>
                <w:tcPr>
                  <w:tcW w:w="1914" w:type="dxa"/>
                  <w:vMerge w:val="continue"/>
                  <w:tcBorders>
                    <w:tl2br w:val="nil"/>
                    <w:tr2bl w:val="nil"/>
                  </w:tcBorders>
                  <w:noWrap w:val="0"/>
                  <w:vAlign w:val="center"/>
                </w:tcPr>
                <w:p w14:paraId="5CD518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color w:val="000000"/>
                      <w:sz w:val="21"/>
                      <w:szCs w:val="21"/>
                      <w:lang w:eastAsia="zh-CN"/>
                    </w:rPr>
                  </w:pPr>
                </w:p>
              </w:tc>
              <w:tc>
                <w:tcPr>
                  <w:tcW w:w="3159" w:type="dxa"/>
                  <w:tcBorders>
                    <w:tl2br w:val="nil"/>
                    <w:tr2bl w:val="nil"/>
                  </w:tcBorders>
                  <w:noWrap w:val="0"/>
                  <w:vAlign w:val="center"/>
                </w:tcPr>
                <w:p w14:paraId="3530BE07">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p>
              </w:tc>
              <w:tc>
                <w:tcPr>
                  <w:tcW w:w="2076" w:type="dxa"/>
                  <w:tcBorders>
                    <w:tl2br w:val="nil"/>
                    <w:tr2bl w:val="nil"/>
                  </w:tcBorders>
                  <w:noWrap w:val="0"/>
                  <w:vAlign w:val="center"/>
                </w:tcPr>
                <w:p w14:paraId="7D96632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p>
              </w:tc>
            </w:tr>
            <w:bookmarkEnd w:id="3"/>
            <w:bookmarkEnd w:id="4"/>
            <w:bookmarkEnd w:id="5"/>
          </w:tbl>
          <w:p w14:paraId="4A6E42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宋体"/>
                <w:b/>
                <w:bCs/>
                <w:color w:val="000000"/>
                <w:sz w:val="24"/>
                <w:szCs w:val="24"/>
                <w:lang w:val="en-US" w:eastAsia="zh-CN"/>
              </w:rPr>
            </w:pPr>
            <w:r>
              <w:rPr>
                <w:rFonts w:hint="eastAsia" w:ascii="Times New Roman" w:hAnsi="Times New Roman" w:eastAsia="宋体" w:cs="宋体"/>
                <w:b/>
                <w:bCs/>
                <w:color w:val="000000"/>
                <w:sz w:val="24"/>
                <w:szCs w:val="24"/>
                <w:lang w:val="en-US" w:eastAsia="zh-CN"/>
              </w:rPr>
              <w:t>2.</w:t>
            </w:r>
            <w:r>
              <w:rPr>
                <w:rFonts w:hint="eastAsia" w:cs="宋体"/>
                <w:b/>
                <w:bCs/>
                <w:color w:val="000000"/>
                <w:sz w:val="24"/>
                <w:szCs w:val="24"/>
                <w:lang w:val="en-US" w:eastAsia="zh-CN"/>
              </w:rPr>
              <w:t>6</w:t>
            </w:r>
            <w:r>
              <w:rPr>
                <w:rFonts w:hint="eastAsia" w:ascii="Times New Roman" w:hAnsi="Times New Roman" w:eastAsia="宋体" w:cs="宋体"/>
                <w:b/>
                <w:bCs/>
                <w:color w:val="000000"/>
                <w:sz w:val="24"/>
                <w:szCs w:val="24"/>
                <w:lang w:val="en-US" w:eastAsia="zh-CN"/>
              </w:rPr>
              <w:t xml:space="preserve"> 项目水平衡和物料平衡</w:t>
            </w:r>
          </w:p>
          <w:p w14:paraId="64F9BD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jc w:val="left"/>
              <w:textAlignment w:val="auto"/>
              <w:rPr>
                <w:rFonts w:hint="eastAsia" w:ascii="Times New Roman" w:hAnsi="Times New Roman" w:eastAsia="宋体" w:cs="宋体"/>
                <w:color w:val="auto"/>
                <w:sz w:val="24"/>
              </w:rPr>
            </w:pPr>
            <w:r>
              <w:rPr>
                <w:rFonts w:hint="eastAsia" w:ascii="Times New Roman" w:hAnsi="Times New Roman" w:eastAsia="宋体" w:cs="宋体"/>
                <w:b w:val="0"/>
                <w:bCs w:val="0"/>
                <w:color w:val="auto"/>
                <w:kern w:val="2"/>
                <w:sz w:val="21"/>
                <w:szCs w:val="21"/>
                <w:lang w:bidi="ar"/>
              </w:rPr>
              <w:t>项目的水平衡图见下图（单位：t/a）</w:t>
            </w:r>
            <w:r>
              <w:rPr>
                <w:rFonts w:hint="eastAsia" w:ascii="Times New Roman" w:hAnsi="Times New Roman" w:eastAsia="宋体" w:cs="宋体"/>
                <w:b w:val="0"/>
                <w:bCs w:val="0"/>
                <w:color w:val="auto"/>
                <w:kern w:val="2"/>
                <w:sz w:val="21"/>
                <w:szCs w:val="21"/>
                <w:lang w:eastAsia="zh-CN" w:bidi="ar"/>
              </w:rPr>
              <w:t>。</w:t>
            </w:r>
          </w:p>
          <w:p w14:paraId="1579A2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b/>
                <w:color w:val="000000"/>
                <w:sz w:val="21"/>
                <w:szCs w:val="21"/>
              </w:rPr>
            </w:pPr>
            <w:r>
              <w:rPr>
                <w:rFonts w:hint="eastAsia" w:eastAsia="等线"/>
                <w:sz w:val="21"/>
                <w:szCs w:val="21"/>
                <w:lang w:eastAsia="zh-CN"/>
              </w:rPr>
              <w:object>
                <v:shape id="_x0000_i1036" o:spt="75" type="#_x0000_t75" style="height:60.3pt;width:319.85pt;" o:ole="t" filled="f" o:preferrelative="t" stroked="f" coordsize="21600,21600">
                  <v:path/>
                  <v:fill on="f" focussize="0,0"/>
                  <v:stroke on="f"/>
                  <v:imagedata r:id="rId11" cropbottom="1079f" o:title=""/>
                  <o:lock v:ext="edit" aspectratio="t"/>
                  <w10:wrap type="none"/>
                  <w10:anchorlock/>
                </v:shape>
                <o:OLEObject Type="Embed" ProgID="Visio.Drawing.11" ShapeID="_x0000_i1036" DrawAspect="Content" ObjectID="_1468075725" r:id="rId10">
                  <o:LockedField>false</o:LockedField>
                </o:OLEObject>
              </w:object>
            </w:r>
          </w:p>
          <w:p w14:paraId="28427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b/>
                <w:color w:val="000000"/>
                <w:sz w:val="21"/>
                <w:szCs w:val="21"/>
                <w:lang w:eastAsia="zh-CN"/>
              </w:rPr>
            </w:pPr>
            <w:r>
              <w:rPr>
                <w:rFonts w:hint="eastAsia" w:ascii="Times New Roman" w:hAnsi="Times New Roman" w:eastAsia="宋体" w:cs="宋体"/>
                <w:b/>
                <w:color w:val="000000"/>
                <w:sz w:val="21"/>
                <w:szCs w:val="21"/>
              </w:rPr>
              <w:t>图</w:t>
            </w:r>
            <w:r>
              <w:rPr>
                <w:rFonts w:hint="eastAsia" w:ascii="Times New Roman" w:hAnsi="Times New Roman" w:eastAsia="宋体" w:cs="宋体"/>
                <w:b/>
                <w:color w:val="000000"/>
                <w:sz w:val="21"/>
                <w:szCs w:val="21"/>
                <w:lang w:val="en-US" w:eastAsia="zh-CN"/>
              </w:rPr>
              <w:t>2-1  项目</w:t>
            </w:r>
            <w:r>
              <w:rPr>
                <w:rFonts w:hint="eastAsia" w:ascii="Times New Roman" w:hAnsi="Times New Roman" w:eastAsia="宋体" w:cs="宋体"/>
                <w:b/>
                <w:color w:val="000000"/>
                <w:sz w:val="21"/>
                <w:szCs w:val="21"/>
              </w:rPr>
              <w:t>水平衡图</w:t>
            </w:r>
            <w:r>
              <w:rPr>
                <w:rFonts w:hint="eastAsia" w:ascii="Times New Roman" w:hAnsi="Times New Roman" w:eastAsia="宋体" w:cs="宋体"/>
                <w:b/>
                <w:color w:val="000000"/>
                <w:sz w:val="21"/>
                <w:szCs w:val="21"/>
                <w:lang w:eastAsia="zh-CN"/>
              </w:rPr>
              <w:t>（</w:t>
            </w:r>
            <w:r>
              <w:rPr>
                <w:rFonts w:hint="eastAsia" w:ascii="Times New Roman" w:hAnsi="Times New Roman" w:eastAsia="宋体" w:cs="宋体"/>
                <w:b/>
                <w:color w:val="000000"/>
                <w:sz w:val="21"/>
                <w:szCs w:val="21"/>
                <w:lang w:val="en-US" w:eastAsia="zh-CN"/>
              </w:rPr>
              <w:t>t/a</w:t>
            </w:r>
            <w:r>
              <w:rPr>
                <w:rFonts w:hint="eastAsia" w:ascii="Times New Roman" w:hAnsi="Times New Roman" w:eastAsia="宋体" w:cs="宋体"/>
                <w:b/>
                <w:color w:val="000000"/>
                <w:sz w:val="21"/>
                <w:szCs w:val="21"/>
                <w:lang w:eastAsia="zh-CN"/>
              </w:rPr>
              <w:t>）</w:t>
            </w:r>
          </w:p>
          <w:p w14:paraId="6A88EE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jc w:val="left"/>
              <w:textAlignment w:val="auto"/>
              <w:rPr>
                <w:rFonts w:hint="eastAsia" w:ascii="Times New Roman" w:hAnsi="Times New Roman" w:eastAsia="宋体" w:cs="宋体"/>
                <w:b w:val="0"/>
                <w:bCs w:val="0"/>
                <w:color w:val="000000"/>
                <w:kern w:val="2"/>
                <w:sz w:val="21"/>
                <w:szCs w:val="21"/>
                <w:lang w:eastAsia="zh-CN" w:bidi="ar"/>
              </w:rPr>
            </w:pPr>
            <w:r>
              <w:rPr>
                <w:rFonts w:hint="eastAsia" w:ascii="Times New Roman" w:hAnsi="Times New Roman" w:eastAsia="宋体" w:cs="宋体"/>
                <w:b w:val="0"/>
                <w:bCs w:val="0"/>
                <w:color w:val="000000"/>
                <w:kern w:val="2"/>
                <w:sz w:val="21"/>
                <w:szCs w:val="21"/>
                <w:lang w:bidi="ar"/>
              </w:rPr>
              <w:t>项目的</w:t>
            </w:r>
            <w:r>
              <w:rPr>
                <w:rFonts w:hint="eastAsia" w:ascii="Times New Roman" w:hAnsi="Times New Roman" w:eastAsia="宋体" w:cs="宋体"/>
                <w:b w:val="0"/>
                <w:bCs w:val="0"/>
                <w:color w:val="000000"/>
                <w:kern w:val="2"/>
                <w:sz w:val="21"/>
                <w:szCs w:val="21"/>
                <w:lang w:val="en-US" w:eastAsia="zh-CN" w:bidi="ar"/>
              </w:rPr>
              <w:t>颗粒物</w:t>
            </w:r>
            <w:r>
              <w:rPr>
                <w:rFonts w:hint="eastAsia" w:ascii="Times New Roman" w:hAnsi="Times New Roman" w:eastAsia="宋体" w:cs="宋体"/>
                <w:b w:val="0"/>
                <w:bCs w:val="0"/>
                <w:color w:val="000000"/>
                <w:kern w:val="2"/>
                <w:sz w:val="21"/>
                <w:szCs w:val="21"/>
                <w:lang w:bidi="ar"/>
              </w:rPr>
              <w:t>平衡图见下图（单位：t/a）</w:t>
            </w:r>
            <w:r>
              <w:rPr>
                <w:rFonts w:hint="eastAsia" w:ascii="Times New Roman" w:hAnsi="Times New Roman" w:eastAsia="宋体" w:cs="宋体"/>
                <w:b w:val="0"/>
                <w:bCs w:val="0"/>
                <w:color w:val="000000"/>
                <w:kern w:val="2"/>
                <w:sz w:val="21"/>
                <w:szCs w:val="21"/>
                <w:lang w:eastAsia="zh-CN" w:bidi="ar"/>
              </w:rPr>
              <w:t>。</w:t>
            </w:r>
          </w:p>
          <w:p w14:paraId="55952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bCs/>
                <w:color w:val="000000"/>
              </w:rPr>
            </w:pPr>
            <w:r>
              <w:rPr>
                <w:rFonts w:hint="eastAsia" w:ascii="Times New Roman" w:hAnsi="Times New Roman" w:eastAsia="宋体" w:cs="宋体"/>
                <w:b w:val="0"/>
                <w:bCs w:val="0"/>
                <w:color w:val="000000"/>
                <w:kern w:val="2"/>
                <w:sz w:val="21"/>
                <w:szCs w:val="21"/>
                <w:lang w:eastAsia="zh-CN" w:bidi="ar"/>
              </w:rPr>
              <w:object>
                <v:shape id="_x0000_i1037" o:spt="75" type="#_x0000_t75" style="height:145.75pt;width:395.15pt;" o:ole="t" filled="f" o:preferrelative="t" stroked="f" coordsize="21600,21600">
                  <v:path/>
                  <v:fill on="f" focussize="0,0"/>
                  <v:stroke on="f"/>
                  <v:imagedata r:id="rId13" cropright="-1076f" cropbottom="-1311f" o:title=""/>
                  <o:lock v:ext="edit" aspectratio="t"/>
                  <w10:wrap type="none"/>
                  <w10:anchorlock/>
                </v:shape>
                <o:OLEObject Type="Embed" ProgID="Visio.Drawing.11" ShapeID="_x0000_i1037" DrawAspect="Content" ObjectID="_1468075726" r:id="rId12">
                  <o:LockedField>false</o:LockedField>
                </o:OLEObject>
              </w:object>
            </w:r>
            <w:r>
              <w:rPr>
                <w:rFonts w:hint="eastAsia"/>
                <w:b/>
                <w:bCs/>
                <w:color w:val="000000"/>
              </w:rPr>
              <w:t>图</w:t>
            </w:r>
            <w:r>
              <w:rPr>
                <w:rFonts w:hint="eastAsia"/>
                <w:b/>
                <w:bCs/>
                <w:color w:val="000000"/>
                <w:lang w:val="en-US" w:eastAsia="zh-CN"/>
              </w:rPr>
              <w:t>2-2  颗粒物</w:t>
            </w:r>
            <w:r>
              <w:rPr>
                <w:rFonts w:hint="eastAsia" w:ascii="Times New Roman" w:hAnsi="Times New Roman" w:eastAsia="宋体" w:cs="宋体"/>
                <w:b/>
                <w:color w:val="000000"/>
                <w:sz w:val="21"/>
                <w:szCs w:val="21"/>
                <w:lang w:val="en-US" w:eastAsia="zh-CN"/>
              </w:rPr>
              <w:t>物料</w:t>
            </w:r>
            <w:r>
              <w:rPr>
                <w:rFonts w:hint="eastAsia"/>
                <w:b/>
                <w:bCs/>
                <w:color w:val="000000"/>
                <w:lang w:val="en-US" w:eastAsia="zh-CN"/>
              </w:rPr>
              <w:t>平</w:t>
            </w:r>
            <w:r>
              <w:rPr>
                <w:rFonts w:hint="eastAsia"/>
                <w:b/>
                <w:bCs/>
                <w:color w:val="000000"/>
              </w:rPr>
              <w:t>衡图</w:t>
            </w:r>
            <w:r>
              <w:rPr>
                <w:rFonts w:hint="eastAsia"/>
                <w:b/>
                <w:bCs/>
                <w:color w:val="000000"/>
                <w:lang w:eastAsia="zh-CN"/>
              </w:rPr>
              <w:t>（</w:t>
            </w:r>
            <w:r>
              <w:rPr>
                <w:rFonts w:hint="eastAsia"/>
                <w:b/>
                <w:bCs/>
                <w:color w:val="000000"/>
                <w:lang w:val="en-US" w:eastAsia="zh-CN"/>
              </w:rPr>
              <w:t>t/a</w:t>
            </w:r>
            <w:r>
              <w:rPr>
                <w:rFonts w:hint="eastAsia"/>
                <w:b/>
                <w:bCs/>
                <w:color w:val="000000"/>
                <w:lang w:eastAsia="zh-CN"/>
              </w:rPr>
              <w:t>）</w:t>
            </w:r>
          </w:p>
          <w:p w14:paraId="5F9D3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宋体"/>
                <w:b/>
                <w:bCs/>
                <w:color w:val="000000"/>
                <w:sz w:val="24"/>
                <w:szCs w:val="24"/>
                <w:lang w:val="en-US" w:eastAsia="zh-CN"/>
              </w:rPr>
            </w:pPr>
            <w:r>
              <w:rPr>
                <w:rFonts w:hint="eastAsia" w:ascii="Times New Roman" w:hAnsi="Times New Roman" w:eastAsia="宋体" w:cs="宋体"/>
                <w:b/>
                <w:bCs/>
                <w:color w:val="000000"/>
                <w:sz w:val="24"/>
                <w:szCs w:val="24"/>
                <w:lang w:val="en-US" w:eastAsia="zh-CN"/>
              </w:rPr>
              <w:t>2.</w:t>
            </w:r>
            <w:r>
              <w:rPr>
                <w:rFonts w:hint="eastAsia" w:cs="宋体"/>
                <w:b/>
                <w:bCs/>
                <w:color w:val="000000"/>
                <w:sz w:val="24"/>
                <w:szCs w:val="24"/>
                <w:lang w:val="en-US" w:eastAsia="zh-CN"/>
              </w:rPr>
              <w:t>7</w:t>
            </w:r>
            <w:r>
              <w:rPr>
                <w:rFonts w:hint="default" w:ascii="Times New Roman" w:hAnsi="Times New Roman" w:eastAsia="宋体" w:cs="宋体"/>
                <w:b/>
                <w:bCs/>
                <w:color w:val="000000"/>
                <w:sz w:val="24"/>
                <w:szCs w:val="24"/>
                <w:lang w:val="en-US" w:eastAsia="zh-CN"/>
              </w:rPr>
              <w:t>总平面布置合理性分析</w:t>
            </w:r>
          </w:p>
          <w:p w14:paraId="0EB80675">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ind w:right="0" w:firstLine="420" w:firstLineChars="200"/>
              <w:jc w:val="both"/>
              <w:textAlignment w:val="auto"/>
              <w:rPr>
                <w:rFonts w:hint="default" w:ascii="Times New Roman" w:hAnsi="Times New Roman" w:eastAsia="宋体" w:cs="宋体"/>
                <w:b/>
                <w:color w:val="000000"/>
                <w:sz w:val="21"/>
                <w:szCs w:val="21"/>
                <w:lang w:val="en-US" w:eastAsia="zh-CN"/>
              </w:rPr>
            </w:pPr>
            <w:r>
              <w:rPr>
                <w:rFonts w:hint="default" w:ascii="Times New Roman" w:hAnsi="Times New Roman" w:eastAsia="宋体" w:cs="Times New Roman"/>
                <w:color w:val="auto"/>
                <w:sz w:val="21"/>
                <w:szCs w:val="21"/>
                <w:lang w:val="en-US" w:eastAsia="zh-CN"/>
              </w:rPr>
              <w:t>项目</w:t>
            </w:r>
            <w:r>
              <w:rPr>
                <w:rFonts w:hint="default" w:ascii="Times New Roman" w:hAnsi="Times New Roman" w:eastAsia="宋体" w:cs="Times New Roman"/>
                <w:color w:val="auto"/>
                <w:sz w:val="21"/>
                <w:szCs w:val="21"/>
              </w:rPr>
              <w:t>各生产设备设置于车间内</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按照生产</w:t>
            </w:r>
            <w:r>
              <w:rPr>
                <w:rFonts w:hint="eastAsia" w:cs="Times New Roman"/>
                <w:color w:val="auto"/>
                <w:sz w:val="21"/>
                <w:szCs w:val="21"/>
                <w:lang w:val="en-US" w:eastAsia="zh-CN"/>
              </w:rPr>
              <w:t>需求</w:t>
            </w:r>
            <w:r>
              <w:rPr>
                <w:rFonts w:hint="default" w:ascii="Times New Roman" w:hAnsi="Times New Roman" w:eastAsia="宋体" w:cs="Times New Roman"/>
                <w:color w:val="auto"/>
                <w:sz w:val="21"/>
                <w:szCs w:val="21"/>
              </w:rPr>
              <w:t>进行布设</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可减少废气、噪声等污染物对周边环境及敏感目标的影响。一般工业固废</w:t>
            </w:r>
            <w:r>
              <w:rPr>
                <w:rFonts w:hint="eastAsia" w:cs="Times New Roman"/>
                <w:color w:val="auto"/>
                <w:sz w:val="21"/>
                <w:szCs w:val="21"/>
                <w:lang w:eastAsia="zh-CN"/>
              </w:rPr>
              <w:t>区</w:t>
            </w:r>
            <w:r>
              <w:rPr>
                <w:rFonts w:hint="eastAsia" w:cs="Times New Roman"/>
                <w:color w:val="auto"/>
                <w:sz w:val="21"/>
                <w:szCs w:val="21"/>
                <w:lang w:val="en-US" w:eastAsia="zh-CN"/>
              </w:rPr>
              <w:t>设置于厂房内</w:t>
            </w:r>
            <w:r>
              <w:rPr>
                <w:rFonts w:hint="default" w:ascii="Times New Roman" w:hAnsi="Times New Roman" w:eastAsia="宋体" w:cs="Times New Roman"/>
                <w:color w:val="auto"/>
                <w:sz w:val="21"/>
                <w:szCs w:val="21"/>
              </w:rPr>
              <w:t>。项目厂区平面布局合理，生产、物流顺畅，厂区内排水采用雨污分流制，雨水、污水通过管道收集后排入市政管网。</w:t>
            </w:r>
            <w:r>
              <w:rPr>
                <w:rFonts w:hint="eastAsia" w:cs="Times New Roman"/>
                <w:color w:val="auto"/>
                <w:sz w:val="21"/>
                <w:szCs w:val="21"/>
                <w:lang w:val="en-US" w:eastAsia="zh-CN"/>
              </w:rPr>
              <w:t>厂区生产厂房东侧敏感目标为云扬航空学校，其设置有2栋教学楼，厂界共用，该项目生产厂房与敏感目标最近教学楼距离为35.5m，生产线均设有玻璃密闭罩且生产车间设有卷帘门做到进出随开随关，废气治理设施设在生产厂房北侧且风机设置隔声罩，进出物流均从生产厂房中间大门，大大降低了噪声及粉尘对于敏感目标的影响，项目对于该敏感点的影响较小。</w:t>
            </w:r>
            <w:r>
              <w:rPr>
                <w:rFonts w:hint="default" w:ascii="Times New Roman" w:hAnsi="Times New Roman" w:eastAsia="宋体" w:cs="Times New Roman"/>
                <w:color w:val="auto"/>
                <w:sz w:val="21"/>
                <w:szCs w:val="21"/>
                <w:lang w:eastAsia="zh-CN"/>
              </w:rPr>
              <w:t>因此，本</w:t>
            </w:r>
            <w:r>
              <w:rPr>
                <w:rFonts w:hint="default" w:ascii="Times New Roman" w:hAnsi="Times New Roman" w:eastAsia="宋体" w:cs="Times New Roman"/>
                <w:color w:val="auto"/>
                <w:sz w:val="21"/>
                <w:szCs w:val="21"/>
              </w:rPr>
              <w:t>项目总平面布置基本合理。</w:t>
            </w:r>
            <w:r>
              <w:rPr>
                <w:rFonts w:hint="eastAsia" w:ascii="Times New Roman" w:hAnsi="Times New Roman" w:eastAsia="宋体" w:cs="Times New Roman"/>
                <w:color w:val="auto"/>
                <w:sz w:val="21"/>
                <w:szCs w:val="21"/>
                <w:lang w:val="en-US" w:eastAsia="zh-CN"/>
              </w:rPr>
              <w:t>项目平面布置图</w:t>
            </w:r>
            <w:r>
              <w:rPr>
                <w:rFonts w:hint="eastAsia" w:cs="Times New Roman"/>
                <w:color w:val="auto"/>
                <w:sz w:val="21"/>
                <w:szCs w:val="21"/>
                <w:lang w:val="en-US" w:eastAsia="zh-CN"/>
              </w:rPr>
              <w:t>见</w:t>
            </w:r>
            <w:r>
              <w:rPr>
                <w:rFonts w:hint="eastAsia" w:ascii="Times New Roman" w:hAnsi="Times New Roman" w:eastAsia="宋体" w:cs="Times New Roman"/>
                <w:b/>
                <w:bCs/>
                <w:color w:val="auto"/>
                <w:sz w:val="21"/>
                <w:szCs w:val="21"/>
                <w:lang w:val="en-US" w:eastAsia="zh-CN"/>
              </w:rPr>
              <w:t>附图</w:t>
            </w:r>
            <w:r>
              <w:rPr>
                <w:rFonts w:hint="eastAsia" w:cs="Times New Roman"/>
                <w:b/>
                <w:bCs/>
                <w:color w:val="auto"/>
                <w:sz w:val="21"/>
                <w:szCs w:val="21"/>
                <w:lang w:val="en-US" w:eastAsia="zh-CN"/>
              </w:rPr>
              <w:t>6</w:t>
            </w:r>
            <w:r>
              <w:rPr>
                <w:rFonts w:hint="eastAsia" w:ascii="Times New Roman" w:hAnsi="Times New Roman" w:eastAsia="宋体" w:cs="Times New Roman"/>
                <w:color w:val="auto"/>
                <w:sz w:val="21"/>
                <w:szCs w:val="21"/>
                <w:lang w:val="en-US" w:eastAsia="zh-CN"/>
              </w:rPr>
              <w:t>。</w:t>
            </w:r>
          </w:p>
        </w:tc>
      </w:tr>
      <w:tr w14:paraId="54FF7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34" w:type="dxa"/>
            <w:noWrap w:val="0"/>
            <w:vAlign w:val="center"/>
          </w:tcPr>
          <w:p w14:paraId="4060A8AF">
            <w:pPr>
              <w:pStyle w:val="18"/>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cs="宋体"/>
                <w:color w:val="000000"/>
                <w:sz w:val="21"/>
                <w:szCs w:val="21"/>
              </w:rPr>
              <w:t>工艺流程和产排污环节</w:t>
            </w:r>
          </w:p>
        </w:tc>
        <w:tc>
          <w:tcPr>
            <w:tcW w:w="8326" w:type="dxa"/>
            <w:noWrap w:val="0"/>
            <w:vAlign w:val="top"/>
          </w:tcPr>
          <w:p w14:paraId="7F53CC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default"/>
                <w:color w:val="000000"/>
                <w:sz w:val="21"/>
                <w:szCs w:val="21"/>
                <w:lang w:val="en-US" w:eastAsia="zh-CN"/>
              </w:rPr>
            </w:pPr>
            <w:r>
              <w:rPr>
                <w:rFonts w:hint="eastAsia"/>
                <w:color w:val="000000"/>
                <w:sz w:val="21"/>
                <w:szCs w:val="21"/>
                <w:lang w:val="en-US" w:eastAsia="zh-CN"/>
              </w:rPr>
              <w:t>项目护垫生产工艺流程及产污环节如下：</w:t>
            </w:r>
          </w:p>
          <w:p w14:paraId="16109AA3">
            <w:pPr>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b/>
                <w:bCs/>
                <w:color w:val="000000"/>
                <w:sz w:val="21"/>
                <w:szCs w:val="21"/>
                <w:lang w:eastAsia="zh-CN"/>
              </w:rPr>
            </w:pPr>
            <w:r>
              <w:rPr>
                <w:rFonts w:hint="eastAsia" w:ascii="Times New Roman" w:hAnsi="Times New Roman" w:eastAsia="宋体" w:cs="Times New Roman"/>
                <w:b/>
                <w:bCs/>
                <w:color w:val="000000"/>
                <w:sz w:val="21"/>
                <w:szCs w:val="21"/>
              </w:rPr>
              <w:t>图</w:t>
            </w:r>
            <w:r>
              <w:rPr>
                <w:rFonts w:hint="eastAsia" w:ascii="Times New Roman" w:hAnsi="Times New Roman" w:eastAsia="宋体" w:cs="Times New Roman"/>
                <w:b/>
                <w:bCs/>
                <w:color w:val="000000"/>
                <w:sz w:val="21"/>
                <w:szCs w:val="21"/>
                <w:lang w:val="en-US" w:eastAsia="zh-CN"/>
              </w:rPr>
              <w:t>2-</w:t>
            </w:r>
            <w:r>
              <w:rPr>
                <w:rFonts w:hint="eastAsia" w:cs="Times New Roman"/>
                <w:b/>
                <w:bCs/>
                <w:color w:val="000000"/>
                <w:sz w:val="21"/>
                <w:szCs w:val="21"/>
                <w:lang w:val="en-US" w:eastAsia="zh-CN"/>
              </w:rPr>
              <w:t>3</w:t>
            </w:r>
            <w:r>
              <w:rPr>
                <w:rFonts w:hint="eastAsia" w:ascii="Times New Roman" w:hAnsi="Times New Roman" w:eastAsia="宋体" w:cs="Times New Roman"/>
                <w:b/>
                <w:bCs/>
                <w:color w:val="000000"/>
                <w:sz w:val="21"/>
                <w:szCs w:val="21"/>
              </w:rPr>
              <w:t xml:space="preserve">  </w:t>
            </w:r>
            <w:r>
              <w:rPr>
                <w:rFonts w:hint="eastAsia" w:ascii="Times New Roman" w:hAnsi="Times New Roman" w:eastAsia="宋体" w:cs="Times New Roman"/>
                <w:b/>
                <w:bCs/>
                <w:color w:val="000000"/>
                <w:sz w:val="21"/>
                <w:szCs w:val="21"/>
                <w:lang w:eastAsia="zh-CN"/>
              </w:rPr>
              <w:t>项目</w:t>
            </w:r>
            <w:r>
              <w:rPr>
                <w:rFonts w:hint="eastAsia" w:cs="Times New Roman"/>
                <w:b/>
                <w:bCs/>
                <w:color w:val="000000"/>
                <w:sz w:val="21"/>
                <w:szCs w:val="21"/>
                <w:lang w:val="en-US" w:eastAsia="zh-CN"/>
              </w:rPr>
              <w:t>护垫</w:t>
            </w:r>
            <w:r>
              <w:rPr>
                <w:rFonts w:hint="eastAsia" w:ascii="Times New Roman" w:hAnsi="Times New Roman" w:eastAsia="宋体" w:cs="Times New Roman"/>
                <w:b/>
                <w:bCs/>
                <w:color w:val="000000"/>
                <w:sz w:val="21"/>
                <w:szCs w:val="21"/>
              </w:rPr>
              <w:t>生产工艺流程图</w:t>
            </w:r>
          </w:p>
          <w:p w14:paraId="19B41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000000"/>
                <w:sz w:val="21"/>
                <w:szCs w:val="21"/>
              </w:rPr>
            </w:pPr>
            <w:r>
              <w:rPr>
                <w:rFonts w:hint="default"/>
                <w:color w:val="000000"/>
                <w:sz w:val="21"/>
                <w:szCs w:val="21"/>
              </w:rPr>
              <w:t>工艺说明：</w:t>
            </w:r>
          </w:p>
          <w:p w14:paraId="598D0D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color w:val="000000"/>
                <w:sz w:val="21"/>
                <w:szCs w:val="21"/>
                <w:lang w:val="en-US" w:eastAsia="zh-CN"/>
              </w:rPr>
            </w:pPr>
          </w:p>
          <w:p w14:paraId="2D9C4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color w:val="000000"/>
                <w:sz w:val="21"/>
                <w:szCs w:val="21"/>
                <w:lang w:val="en-US" w:eastAsia="zh-CN"/>
              </w:rPr>
            </w:pPr>
          </w:p>
          <w:p w14:paraId="248E1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color w:val="000000"/>
                <w:sz w:val="21"/>
                <w:szCs w:val="21"/>
                <w:lang w:val="en-US" w:eastAsia="zh-CN"/>
              </w:rPr>
            </w:pPr>
          </w:p>
          <w:p w14:paraId="06163D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default"/>
                <w:color w:val="000000"/>
                <w:sz w:val="21"/>
                <w:szCs w:val="21"/>
                <w:lang w:val="en-US" w:eastAsia="zh-CN"/>
              </w:rPr>
            </w:pPr>
            <w:r>
              <w:rPr>
                <w:rFonts w:hint="eastAsia"/>
                <w:color w:val="000000"/>
                <w:sz w:val="21"/>
                <w:szCs w:val="21"/>
                <w:lang w:val="en-US" w:eastAsia="zh-CN"/>
              </w:rPr>
              <w:t>项目卫生巾生产工艺流程及产污环节如下：</w:t>
            </w:r>
          </w:p>
          <w:p w14:paraId="6D020EA0">
            <w:pPr>
              <w:keepNext w:val="0"/>
              <w:keepLines w:val="0"/>
              <w:suppressLineNumbers w:val="0"/>
              <w:spacing w:before="0" w:beforeAutospacing="0" w:after="0" w:afterAutospacing="0"/>
              <w:ind w:left="0" w:leftChars="0" w:right="0" w:firstLine="0" w:firstLineChars="0"/>
              <w:jc w:val="center"/>
              <w:rPr>
                <w:rFonts w:hint="eastAsia" w:eastAsia="宋体"/>
                <w:lang w:eastAsia="zh-CN"/>
              </w:rPr>
            </w:pPr>
          </w:p>
          <w:p w14:paraId="246A4C5E">
            <w:pPr>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b/>
                <w:bCs/>
                <w:color w:val="000000"/>
                <w:sz w:val="21"/>
                <w:szCs w:val="21"/>
                <w:lang w:eastAsia="zh-CN"/>
              </w:rPr>
            </w:pPr>
            <w:r>
              <w:rPr>
                <w:rFonts w:hint="eastAsia" w:ascii="Times New Roman" w:hAnsi="Times New Roman" w:eastAsia="宋体" w:cs="Times New Roman"/>
                <w:b/>
                <w:bCs/>
                <w:color w:val="000000"/>
                <w:sz w:val="21"/>
                <w:szCs w:val="21"/>
              </w:rPr>
              <w:t>图</w:t>
            </w:r>
            <w:r>
              <w:rPr>
                <w:rFonts w:hint="eastAsia" w:ascii="Times New Roman" w:hAnsi="Times New Roman" w:eastAsia="宋体" w:cs="Times New Roman"/>
                <w:b/>
                <w:bCs/>
                <w:color w:val="000000"/>
                <w:sz w:val="21"/>
                <w:szCs w:val="21"/>
                <w:lang w:val="en-US" w:eastAsia="zh-CN"/>
              </w:rPr>
              <w:t>2-</w:t>
            </w:r>
            <w:r>
              <w:rPr>
                <w:rFonts w:hint="eastAsia" w:cs="Times New Roman"/>
                <w:b/>
                <w:bCs/>
                <w:color w:val="000000"/>
                <w:sz w:val="21"/>
                <w:szCs w:val="21"/>
                <w:lang w:val="en-US" w:eastAsia="zh-CN"/>
              </w:rPr>
              <w:t>4</w:t>
            </w:r>
            <w:r>
              <w:rPr>
                <w:rFonts w:hint="eastAsia" w:ascii="Times New Roman" w:hAnsi="Times New Roman" w:eastAsia="宋体" w:cs="Times New Roman"/>
                <w:b/>
                <w:bCs/>
                <w:color w:val="000000"/>
                <w:sz w:val="21"/>
                <w:szCs w:val="21"/>
              </w:rPr>
              <w:t xml:space="preserve">  </w:t>
            </w:r>
            <w:r>
              <w:rPr>
                <w:rFonts w:hint="eastAsia" w:ascii="Times New Roman" w:hAnsi="Times New Roman" w:eastAsia="宋体" w:cs="Times New Roman"/>
                <w:b/>
                <w:bCs/>
                <w:color w:val="000000"/>
                <w:sz w:val="21"/>
                <w:szCs w:val="21"/>
                <w:lang w:eastAsia="zh-CN"/>
              </w:rPr>
              <w:t>项目</w:t>
            </w:r>
            <w:r>
              <w:rPr>
                <w:rFonts w:hint="eastAsia" w:cs="Times New Roman"/>
                <w:b/>
                <w:bCs/>
                <w:color w:val="000000"/>
                <w:sz w:val="21"/>
                <w:szCs w:val="21"/>
                <w:lang w:val="en-US" w:eastAsia="zh-CN"/>
              </w:rPr>
              <w:t>卫生巾</w:t>
            </w:r>
            <w:r>
              <w:rPr>
                <w:rFonts w:hint="eastAsia" w:ascii="Times New Roman" w:hAnsi="Times New Roman" w:eastAsia="宋体" w:cs="Times New Roman"/>
                <w:b/>
                <w:bCs/>
                <w:color w:val="000000"/>
                <w:sz w:val="21"/>
                <w:szCs w:val="21"/>
              </w:rPr>
              <w:t>生产工艺流程图</w:t>
            </w:r>
          </w:p>
          <w:p w14:paraId="3EB43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000000"/>
                <w:sz w:val="21"/>
                <w:szCs w:val="21"/>
              </w:rPr>
            </w:pPr>
            <w:r>
              <w:rPr>
                <w:rFonts w:hint="default"/>
                <w:color w:val="000000"/>
                <w:sz w:val="21"/>
                <w:szCs w:val="21"/>
              </w:rPr>
              <w:t>工艺说明：</w:t>
            </w:r>
          </w:p>
          <w:p w14:paraId="31932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color w:val="000000"/>
                <w:sz w:val="21"/>
                <w:szCs w:val="21"/>
                <w:lang w:val="en-US" w:eastAsia="zh-CN"/>
              </w:rPr>
            </w:pPr>
          </w:p>
          <w:p w14:paraId="26EAAD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color w:val="000000"/>
                <w:sz w:val="21"/>
                <w:szCs w:val="21"/>
                <w:lang w:val="en-US" w:eastAsia="zh-CN"/>
              </w:rPr>
            </w:pPr>
          </w:p>
          <w:p w14:paraId="61B08E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color w:val="000000"/>
                <w:sz w:val="21"/>
                <w:szCs w:val="21"/>
                <w:lang w:val="en-US" w:eastAsia="zh-CN"/>
              </w:rPr>
            </w:pPr>
          </w:p>
          <w:p w14:paraId="0AD3F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default"/>
                <w:color w:val="000000"/>
                <w:sz w:val="21"/>
                <w:szCs w:val="21"/>
                <w:lang w:val="en-US" w:eastAsia="zh-CN"/>
              </w:rPr>
            </w:pPr>
            <w:r>
              <w:rPr>
                <w:rFonts w:hint="eastAsia"/>
                <w:color w:val="000000"/>
                <w:sz w:val="21"/>
                <w:szCs w:val="21"/>
                <w:lang w:val="en-US" w:eastAsia="zh-CN"/>
              </w:rPr>
              <w:t>项目经期裤生产工艺流程及产污环节如下：</w:t>
            </w:r>
          </w:p>
          <w:p w14:paraId="15897F7D">
            <w:pPr>
              <w:keepNext w:val="0"/>
              <w:keepLines w:val="0"/>
              <w:suppressLineNumbers w:val="0"/>
              <w:spacing w:before="0" w:beforeAutospacing="0" w:after="0" w:afterAutospacing="0"/>
              <w:ind w:left="0" w:leftChars="0" w:right="0" w:firstLine="0" w:firstLineChars="0"/>
              <w:jc w:val="center"/>
              <w:rPr>
                <w:rFonts w:hint="eastAsia" w:eastAsia="宋体"/>
                <w:lang w:eastAsia="zh-CN"/>
              </w:rPr>
            </w:pPr>
          </w:p>
          <w:p w14:paraId="5A62C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000000"/>
                <w:sz w:val="21"/>
                <w:szCs w:val="21"/>
              </w:rPr>
            </w:pPr>
            <w:r>
              <w:rPr>
                <w:rFonts w:hint="eastAsia" w:ascii="Times New Roman" w:hAnsi="Times New Roman" w:eastAsia="宋体" w:cs="Times New Roman"/>
                <w:b/>
                <w:bCs/>
                <w:color w:val="000000"/>
                <w:sz w:val="21"/>
                <w:szCs w:val="21"/>
              </w:rPr>
              <w:t>图</w:t>
            </w:r>
            <w:r>
              <w:rPr>
                <w:rFonts w:hint="eastAsia" w:ascii="Times New Roman" w:hAnsi="Times New Roman" w:eastAsia="宋体" w:cs="Times New Roman"/>
                <w:b/>
                <w:bCs/>
                <w:color w:val="000000"/>
                <w:sz w:val="21"/>
                <w:szCs w:val="21"/>
                <w:lang w:val="en-US" w:eastAsia="zh-CN"/>
              </w:rPr>
              <w:t>2-</w:t>
            </w:r>
            <w:r>
              <w:rPr>
                <w:rFonts w:hint="eastAsia" w:ascii="Times New Roman" w:hAnsi="Times New Roman" w:cs="Times New Roman"/>
                <w:b/>
                <w:bCs/>
                <w:color w:val="000000"/>
                <w:sz w:val="21"/>
                <w:szCs w:val="21"/>
                <w:lang w:val="en-US" w:eastAsia="zh-CN"/>
              </w:rPr>
              <w:t>5</w:t>
            </w:r>
            <w:r>
              <w:rPr>
                <w:rFonts w:hint="eastAsia" w:ascii="Times New Roman" w:hAnsi="Times New Roman" w:eastAsia="宋体" w:cs="Times New Roman"/>
                <w:b/>
                <w:bCs/>
                <w:color w:val="000000"/>
                <w:sz w:val="21"/>
                <w:szCs w:val="21"/>
              </w:rPr>
              <w:t xml:space="preserve">  </w:t>
            </w:r>
            <w:r>
              <w:rPr>
                <w:rFonts w:hint="eastAsia" w:ascii="Times New Roman" w:hAnsi="Times New Roman" w:eastAsia="宋体" w:cs="Times New Roman"/>
                <w:b/>
                <w:bCs/>
                <w:color w:val="000000"/>
                <w:sz w:val="21"/>
                <w:szCs w:val="21"/>
                <w:lang w:eastAsia="zh-CN"/>
              </w:rPr>
              <w:t>项目</w:t>
            </w:r>
            <w:r>
              <w:rPr>
                <w:rFonts w:hint="eastAsia" w:cs="Times New Roman"/>
                <w:b/>
                <w:bCs/>
                <w:color w:val="000000"/>
                <w:sz w:val="21"/>
                <w:szCs w:val="21"/>
                <w:lang w:val="en-US" w:eastAsia="zh-CN"/>
              </w:rPr>
              <w:t>经期裤</w:t>
            </w:r>
            <w:r>
              <w:rPr>
                <w:rFonts w:hint="eastAsia" w:ascii="Times New Roman" w:hAnsi="Times New Roman" w:eastAsia="宋体" w:cs="Times New Roman"/>
                <w:b/>
                <w:bCs/>
                <w:color w:val="000000"/>
                <w:sz w:val="21"/>
                <w:szCs w:val="21"/>
              </w:rPr>
              <w:t>生产工艺流程图</w:t>
            </w:r>
          </w:p>
          <w:p w14:paraId="46D71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color w:val="000000"/>
                <w:sz w:val="21"/>
                <w:szCs w:val="21"/>
              </w:rPr>
            </w:pPr>
            <w:r>
              <w:rPr>
                <w:rFonts w:hint="default"/>
                <w:color w:val="000000"/>
                <w:sz w:val="21"/>
                <w:szCs w:val="21"/>
              </w:rPr>
              <w:t>工艺说明：</w:t>
            </w:r>
          </w:p>
          <w:p w14:paraId="60F558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eastAsia="宋体"/>
                <w:color w:val="auto"/>
                <w:sz w:val="21"/>
                <w:szCs w:val="21"/>
                <w:lang w:val="en-US" w:eastAsia="zh-CN"/>
              </w:rPr>
            </w:pPr>
          </w:p>
          <w:p w14:paraId="02C40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color w:val="000000"/>
                <w:sz w:val="21"/>
                <w:szCs w:val="21"/>
              </w:rPr>
            </w:pPr>
          </w:p>
          <w:p w14:paraId="6BE69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color w:val="000000"/>
                <w:sz w:val="21"/>
                <w:szCs w:val="21"/>
              </w:rPr>
            </w:pPr>
          </w:p>
          <w:p w14:paraId="4CF7F6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color w:val="000000"/>
                <w:sz w:val="21"/>
                <w:szCs w:val="21"/>
              </w:rPr>
            </w:pPr>
            <w:r>
              <w:rPr>
                <w:rFonts w:hint="default"/>
                <w:color w:val="000000"/>
                <w:sz w:val="21"/>
                <w:szCs w:val="21"/>
              </w:rPr>
              <w:t>产污环节：</w:t>
            </w:r>
          </w:p>
          <w:p w14:paraId="4C573B12">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000000"/>
                <w:sz w:val="21"/>
              </w:rPr>
            </w:pPr>
            <w:r>
              <w:rPr>
                <w:rFonts w:hint="eastAsia" w:cs="Times New Roman"/>
                <w:color w:val="000000"/>
                <w:sz w:val="21"/>
                <w:lang w:val="en-US" w:eastAsia="zh-CN"/>
              </w:rPr>
              <w:t>①</w:t>
            </w:r>
            <w:r>
              <w:rPr>
                <w:rFonts w:hint="default" w:ascii="Times New Roman" w:hAnsi="Times New Roman" w:eastAsia="宋体" w:cs="Times New Roman"/>
                <w:color w:val="000000"/>
                <w:sz w:val="21"/>
              </w:rPr>
              <w:t>废水：</w:t>
            </w:r>
            <w:r>
              <w:rPr>
                <w:rFonts w:hint="default" w:ascii="Times New Roman" w:hAnsi="Times New Roman" w:eastAsia="宋体" w:cs="Times New Roman"/>
                <w:color w:val="000000"/>
                <w:sz w:val="21"/>
                <w:lang w:val="en-US" w:eastAsia="zh-CN"/>
              </w:rPr>
              <w:t>职工生活污水。</w:t>
            </w:r>
          </w:p>
          <w:p w14:paraId="368FCFBF">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000000"/>
                <w:sz w:val="21"/>
                <w:lang w:val="en-US" w:eastAsia="zh-CN"/>
              </w:rPr>
            </w:pPr>
            <w:r>
              <w:rPr>
                <w:rFonts w:hint="eastAsia" w:cs="Times New Roman"/>
                <w:color w:val="000000"/>
                <w:sz w:val="21"/>
                <w:lang w:val="en-US" w:eastAsia="zh-CN"/>
              </w:rPr>
              <w:t>②</w:t>
            </w:r>
            <w:r>
              <w:rPr>
                <w:rFonts w:hint="default" w:ascii="Times New Roman" w:hAnsi="Times New Roman" w:eastAsia="宋体" w:cs="Times New Roman"/>
                <w:color w:val="000000"/>
                <w:sz w:val="21"/>
              </w:rPr>
              <w:t>废气：</w:t>
            </w:r>
            <w:r>
              <w:rPr>
                <w:rFonts w:hint="eastAsia" w:cs="Times New Roman"/>
                <w:color w:val="000000"/>
                <w:sz w:val="21"/>
                <w:lang w:val="en-US" w:eastAsia="zh-CN"/>
              </w:rPr>
              <w:t>木浆粉碎、芯体成型粉尘</w:t>
            </w:r>
          </w:p>
          <w:p w14:paraId="255BA702">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000000"/>
                <w:sz w:val="21"/>
              </w:rPr>
            </w:pPr>
            <w:r>
              <w:rPr>
                <w:rFonts w:hint="eastAsia" w:cs="Times New Roman"/>
                <w:color w:val="000000"/>
                <w:sz w:val="21"/>
                <w:lang w:val="en-US" w:eastAsia="zh-CN"/>
              </w:rPr>
              <w:t>③</w:t>
            </w:r>
            <w:r>
              <w:rPr>
                <w:rFonts w:hint="default" w:ascii="Times New Roman" w:hAnsi="Times New Roman" w:eastAsia="宋体" w:cs="Times New Roman"/>
                <w:color w:val="000000"/>
                <w:sz w:val="21"/>
              </w:rPr>
              <w:t>噪声：主要为生产过程中各种设备噪声。</w:t>
            </w:r>
          </w:p>
          <w:p w14:paraId="7D1477CB">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ind w:left="0" w:leftChars="0" w:right="0" w:rightChars="0" w:firstLine="420" w:firstLineChars="200"/>
              <w:jc w:val="both"/>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lang w:val="en-US" w:eastAsia="zh-CN"/>
              </w:rPr>
              <w:t>④</w:t>
            </w:r>
            <w:r>
              <w:rPr>
                <w:rFonts w:hint="default" w:ascii="Times New Roman" w:hAnsi="Times New Roman" w:eastAsia="宋体" w:cs="Times New Roman"/>
                <w:color w:val="000000"/>
                <w:sz w:val="21"/>
              </w:rPr>
              <w:t>固体废物：主要为</w:t>
            </w:r>
            <w:r>
              <w:rPr>
                <w:rFonts w:hint="default" w:ascii="Times New Roman" w:hAnsi="Times New Roman" w:eastAsia="宋体" w:cs="Times New Roman"/>
                <w:color w:val="000000"/>
                <w:sz w:val="21"/>
                <w:lang w:val="en-US" w:eastAsia="zh-CN"/>
              </w:rPr>
              <w:t>职工生活垃圾；生产过程中产生的</w:t>
            </w:r>
            <w:r>
              <w:rPr>
                <w:rFonts w:hint="eastAsia" w:cs="Times New Roman"/>
                <w:color w:val="000000"/>
                <w:sz w:val="21"/>
                <w:lang w:val="en-US" w:eastAsia="zh-CN"/>
              </w:rPr>
              <w:t>收集粉尘、废包装材料、边角料</w:t>
            </w:r>
            <w:r>
              <w:rPr>
                <w:rFonts w:hint="default" w:ascii="Times New Roman" w:hAnsi="Times New Roman" w:eastAsia="宋体" w:cs="Times New Roman"/>
                <w:color w:val="000000"/>
                <w:sz w:val="21"/>
                <w:lang w:val="en-US" w:eastAsia="zh-CN"/>
              </w:rPr>
              <w:t>等。</w:t>
            </w:r>
          </w:p>
        </w:tc>
      </w:tr>
      <w:tr w14:paraId="1FC97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noWrap w:val="0"/>
            <w:vAlign w:val="center"/>
          </w:tcPr>
          <w:p w14:paraId="236D12BD">
            <w:pPr>
              <w:pStyle w:val="18"/>
              <w:keepNext w:val="0"/>
              <w:keepLines w:val="0"/>
              <w:suppressLineNumbers w:val="0"/>
              <w:adjustRightInd w:val="0"/>
              <w:snapToGrid w:val="0"/>
              <w:spacing w:before="0" w:beforeAutospacing="0" w:after="0" w:afterAutospacing="0" w:line="240" w:lineRule="auto"/>
              <w:ind w:left="0" w:right="0"/>
              <w:jc w:val="center"/>
              <w:rPr>
                <w:rFonts w:hint="default" w:cs="宋体"/>
                <w:color w:val="000000"/>
                <w:sz w:val="21"/>
                <w:szCs w:val="21"/>
              </w:rPr>
            </w:pPr>
            <w:r>
              <w:rPr>
                <w:rFonts w:hint="eastAsia" w:cs="宋体"/>
                <w:bCs/>
                <w:color w:val="000000"/>
                <w:kern w:val="2"/>
                <w:sz w:val="21"/>
                <w:szCs w:val="21"/>
              </w:rPr>
              <w:t>与项目有关的原有环境污染问题</w:t>
            </w:r>
          </w:p>
        </w:tc>
        <w:tc>
          <w:tcPr>
            <w:tcW w:w="8326" w:type="dxa"/>
            <w:noWrap w:val="0"/>
            <w:vAlign w:val="center"/>
          </w:tcPr>
          <w:p w14:paraId="49C40DBC">
            <w:pPr>
              <w:keepNext w:val="0"/>
              <w:keepLines w:val="0"/>
              <w:suppressLineNumbers w:val="0"/>
              <w:bidi w:val="0"/>
              <w:spacing w:before="0" w:beforeAutospacing="0" w:after="0" w:afterAutospacing="0" w:line="360" w:lineRule="auto"/>
              <w:ind w:left="0" w:right="0" w:firstLine="420" w:firstLineChars="200"/>
              <w:jc w:val="both"/>
              <w:rPr>
                <w:rFonts w:hint="default"/>
                <w:color w:val="000000"/>
                <w:sz w:val="21"/>
                <w:szCs w:val="21"/>
                <w:lang w:val="en-US" w:eastAsia="zh-CN"/>
              </w:rPr>
            </w:pPr>
            <w:r>
              <w:rPr>
                <w:rFonts w:hint="eastAsia"/>
                <w:color w:val="000000"/>
                <w:sz w:val="21"/>
                <w:szCs w:val="21"/>
                <w:lang w:val="en-US" w:eastAsia="zh-CN"/>
              </w:rPr>
              <w:t>本项目为新建项目，不涉及原有环境污染问题。</w:t>
            </w:r>
          </w:p>
        </w:tc>
      </w:tr>
    </w:tbl>
    <w:p w14:paraId="47E26D23">
      <w:pPr>
        <w:bidi w:val="0"/>
        <w:rPr>
          <w:color w:val="000000"/>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68C1DB0C">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三、区域环境质量现状、环境保护目标及评价标准</w:t>
      </w:r>
    </w:p>
    <w:tbl>
      <w:tblPr>
        <w:tblStyle w:val="20"/>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2"/>
        <w:gridCol w:w="8068"/>
      </w:tblGrid>
      <w:tr w14:paraId="6BEC0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22" w:type="dxa"/>
            <w:noWrap w:val="0"/>
            <w:vAlign w:val="center"/>
          </w:tcPr>
          <w:p w14:paraId="68AD60DE">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区域</w:t>
            </w:r>
          </w:p>
          <w:p w14:paraId="147FB6E6">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环境</w:t>
            </w:r>
          </w:p>
          <w:p w14:paraId="55B4F878">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质量</w:t>
            </w:r>
          </w:p>
          <w:p w14:paraId="54768A22">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现状</w:t>
            </w:r>
          </w:p>
        </w:tc>
        <w:tc>
          <w:tcPr>
            <w:tcW w:w="8068" w:type="dxa"/>
            <w:noWrap w:val="0"/>
            <w:vAlign w:val="center"/>
          </w:tcPr>
          <w:p w14:paraId="57BBAD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outlineLvl w:val="9"/>
              <w:rPr>
                <w:rFonts w:hint="eastAsia"/>
                <w:b/>
                <w:bCs/>
                <w:color w:val="000000"/>
              </w:rPr>
            </w:pPr>
            <w:r>
              <w:rPr>
                <w:rFonts w:hint="eastAsia"/>
                <w:b/>
                <w:bCs/>
                <w:color w:val="000000"/>
                <w:lang w:eastAsia="zh-CN"/>
              </w:rPr>
              <w:t>（</w:t>
            </w:r>
            <w:r>
              <w:rPr>
                <w:rFonts w:hint="eastAsia"/>
                <w:b/>
                <w:bCs/>
                <w:color w:val="000000"/>
                <w:lang w:val="en-US" w:eastAsia="zh-CN"/>
              </w:rPr>
              <w:t>1</w:t>
            </w:r>
            <w:r>
              <w:rPr>
                <w:rFonts w:hint="eastAsia"/>
                <w:b/>
                <w:bCs/>
                <w:color w:val="000000"/>
                <w:lang w:eastAsia="zh-CN"/>
              </w:rPr>
              <w:t>）</w:t>
            </w:r>
            <w:r>
              <w:rPr>
                <w:rFonts w:hint="eastAsia"/>
                <w:b/>
                <w:bCs/>
                <w:color w:val="000000"/>
              </w:rPr>
              <w:t>水环境质量现状</w:t>
            </w:r>
          </w:p>
          <w:p w14:paraId="4D8DB8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outlineLvl w:val="9"/>
              <w:rPr>
                <w:rFonts w:hint="default"/>
                <w:color w:val="000000"/>
                <w:lang w:val="en-US" w:eastAsia="zh-CN"/>
              </w:rPr>
            </w:pPr>
            <w:r>
              <w:rPr>
                <w:rFonts w:hint="eastAsia"/>
                <w:color w:val="000000"/>
                <w:lang w:val="en-US" w:eastAsia="zh-CN"/>
              </w:rPr>
              <w:t>1</w:t>
            </w:r>
            <w:r>
              <w:rPr>
                <w:rFonts w:hint="eastAsia"/>
                <w:color w:val="000000"/>
                <w:lang w:eastAsia="zh-CN"/>
              </w:rPr>
              <w:t>）</w:t>
            </w:r>
            <w:r>
              <w:rPr>
                <w:rFonts w:hint="eastAsia"/>
                <w:color w:val="000000"/>
                <w:lang w:val="en-US" w:eastAsia="zh-CN"/>
              </w:rPr>
              <w:t>水环境质量标准</w:t>
            </w:r>
          </w:p>
          <w:p w14:paraId="3611193F">
            <w:pPr>
              <w:keepNext w:val="0"/>
              <w:keepLines w:val="0"/>
              <w:suppressLineNumbers w:val="0"/>
              <w:spacing w:before="0" w:beforeAutospacing="0" w:after="0" w:afterAutospacing="0"/>
              <w:ind w:left="0" w:right="0" w:firstLine="420" w:firstLineChars="200"/>
              <w:rPr>
                <w:rFonts w:hint="default" w:eastAsia="宋体"/>
                <w:color w:val="000000"/>
                <w:lang w:val="en-US" w:eastAsia="zh-CN"/>
              </w:rPr>
            </w:pPr>
            <w:r>
              <w:rPr>
                <w:rFonts w:hint="default"/>
                <w:color w:val="auto"/>
                <w:szCs w:val="21"/>
                <w:highlight w:val="none"/>
              </w:rPr>
              <w:t>区域附近水体为</w:t>
            </w:r>
            <w:r>
              <w:rPr>
                <w:rFonts w:hint="eastAsia"/>
                <w:color w:val="auto"/>
                <w:szCs w:val="21"/>
                <w:highlight w:val="none"/>
                <w:lang w:val="en-US" w:eastAsia="zh-CN"/>
              </w:rPr>
              <w:t>黄塘溪</w:t>
            </w:r>
            <w:r>
              <w:rPr>
                <w:rFonts w:hint="eastAsia"/>
                <w:color w:val="auto"/>
                <w:szCs w:val="21"/>
                <w:highlight w:val="none"/>
              </w:rPr>
              <w:t>，最近距离约</w:t>
            </w:r>
            <w:r>
              <w:rPr>
                <w:rFonts w:hint="eastAsia"/>
                <w:color w:val="auto"/>
                <w:szCs w:val="21"/>
                <w:highlight w:val="none"/>
                <w:lang w:val="en-US" w:eastAsia="zh-CN"/>
              </w:rPr>
              <w:t>156</w:t>
            </w:r>
            <w:r>
              <w:rPr>
                <w:rFonts w:hint="eastAsia"/>
                <w:color w:val="auto"/>
                <w:szCs w:val="21"/>
                <w:highlight w:val="none"/>
              </w:rPr>
              <w:t>m</w:t>
            </w:r>
            <w:r>
              <w:rPr>
                <w:rFonts w:hint="default"/>
                <w:color w:val="auto"/>
                <w:szCs w:val="21"/>
                <w:highlight w:val="none"/>
              </w:rPr>
              <w:t>，根据《泉州市地表水环境功能区类别划分方案修编》（泉州市人民政府，2004年3月），洛阳江水环境功能类别为Ш类水域，水体水质执行《地表水环境质量标准》（GB3838-2002）中的Ш类水质标准，详见</w:t>
            </w:r>
            <w:r>
              <w:rPr>
                <w:rFonts w:hint="default"/>
                <w:b/>
                <w:bCs/>
                <w:color w:val="auto"/>
                <w:szCs w:val="21"/>
                <w:highlight w:val="none"/>
              </w:rPr>
              <w:t>表</w:t>
            </w:r>
            <w:r>
              <w:rPr>
                <w:rFonts w:hint="eastAsia"/>
                <w:b/>
                <w:bCs/>
                <w:color w:val="auto"/>
                <w:szCs w:val="21"/>
                <w:highlight w:val="none"/>
              </w:rPr>
              <w:t>3</w:t>
            </w:r>
            <w:r>
              <w:rPr>
                <w:rFonts w:hint="default"/>
                <w:b/>
                <w:bCs/>
                <w:color w:val="auto"/>
                <w:szCs w:val="21"/>
                <w:highlight w:val="none"/>
              </w:rPr>
              <w:t>-1</w:t>
            </w:r>
            <w:r>
              <w:rPr>
                <w:rFonts w:hint="default"/>
                <w:color w:val="auto"/>
                <w:szCs w:val="21"/>
                <w:highlight w:val="none"/>
              </w:rPr>
              <w:t>。</w:t>
            </w:r>
          </w:p>
          <w:p w14:paraId="7B197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color w:val="auto"/>
                <w:highlight w:val="none"/>
              </w:rPr>
            </w:pPr>
            <w:r>
              <w:rPr>
                <w:rFonts w:hint="eastAsia"/>
                <w:color w:val="auto"/>
                <w:highlight w:val="none"/>
                <w:lang w:val="en-US" w:eastAsia="zh-CN"/>
              </w:rPr>
              <w:t>惠西</w:t>
            </w:r>
            <w:r>
              <w:rPr>
                <w:rFonts w:hint="default"/>
                <w:color w:val="auto"/>
                <w:highlight w:val="none"/>
              </w:rPr>
              <w:t>污水处理厂出水</w:t>
            </w:r>
            <w:r>
              <w:rPr>
                <w:rFonts w:hint="eastAsia"/>
                <w:color w:val="auto"/>
                <w:highlight w:val="none"/>
              </w:rPr>
              <w:t>尾水近期排入林辋溪上游北支流，流经紫山镇、螺阳镇，在螺阳镇汇入林辋溪干流。林辋溪全河段规划功能为鱼虾类越冬场、洄游通道、水产养殖区等渔业水域及游泳区，功能类别为</w:t>
            </w:r>
            <w:r>
              <w:rPr>
                <w:rFonts w:hint="default"/>
                <w:color w:val="auto"/>
                <w:szCs w:val="21"/>
                <w:highlight w:val="none"/>
              </w:rPr>
              <w:t>Ш</w:t>
            </w:r>
            <w:r>
              <w:rPr>
                <w:rFonts w:hint="eastAsia"/>
                <w:color w:val="auto"/>
                <w:highlight w:val="none"/>
              </w:rPr>
              <w:t>类，水质</w:t>
            </w:r>
            <w:r>
              <w:rPr>
                <w:rFonts w:hint="default"/>
                <w:color w:val="auto"/>
                <w:highlight w:val="none"/>
              </w:rPr>
              <w:t>执行《地表水环境质量标准》（GB3838-2002）中的</w:t>
            </w:r>
            <w:r>
              <w:rPr>
                <w:rFonts w:hint="default"/>
                <w:color w:val="auto"/>
                <w:szCs w:val="21"/>
                <w:highlight w:val="none"/>
              </w:rPr>
              <w:t>Ш</w:t>
            </w:r>
            <w:r>
              <w:rPr>
                <w:rFonts w:hint="default"/>
                <w:color w:val="auto"/>
                <w:highlight w:val="none"/>
              </w:rPr>
              <w:t>类水质标准，详见</w:t>
            </w:r>
            <w:r>
              <w:rPr>
                <w:rFonts w:hint="default"/>
                <w:b/>
                <w:bCs/>
                <w:color w:val="auto"/>
                <w:highlight w:val="none"/>
              </w:rPr>
              <w:t>表</w:t>
            </w:r>
            <w:r>
              <w:rPr>
                <w:rFonts w:hint="eastAsia"/>
                <w:b/>
                <w:bCs/>
                <w:color w:val="auto"/>
                <w:highlight w:val="none"/>
              </w:rPr>
              <w:t>3</w:t>
            </w:r>
            <w:r>
              <w:rPr>
                <w:rFonts w:hint="default"/>
                <w:b/>
                <w:bCs/>
                <w:color w:val="auto"/>
                <w:highlight w:val="none"/>
              </w:rPr>
              <w:t>-1</w:t>
            </w:r>
            <w:r>
              <w:rPr>
                <w:rFonts w:hint="default"/>
                <w:color w:val="auto"/>
                <w:highlight w:val="none"/>
              </w:rPr>
              <w:t>。</w:t>
            </w:r>
          </w:p>
          <w:p w14:paraId="411540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right"/>
              <w:textAlignment w:val="auto"/>
              <w:rPr>
                <w:rFonts w:hint="default"/>
                <w:b/>
                <w:bCs/>
                <w:color w:val="000000"/>
              </w:rPr>
            </w:pPr>
            <w:r>
              <w:rPr>
                <w:rFonts w:hint="default"/>
                <w:b/>
                <w:bCs/>
                <w:color w:val="000000"/>
              </w:rPr>
              <w:t>表</w:t>
            </w:r>
            <w:r>
              <w:rPr>
                <w:rFonts w:hint="eastAsia"/>
                <w:b/>
                <w:bCs/>
                <w:color w:val="000000"/>
                <w:lang w:val="en-US" w:eastAsia="zh-CN"/>
              </w:rPr>
              <w:t>3</w:t>
            </w:r>
            <w:r>
              <w:rPr>
                <w:rFonts w:hint="default"/>
                <w:b/>
                <w:bCs/>
                <w:color w:val="000000"/>
              </w:rPr>
              <w:t>-1  《地表水环境质量标准》GB3838-2002（摘录）  单位：mg/L（pH除外）</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40"/>
              <w:gridCol w:w="3512"/>
            </w:tblGrid>
            <w:tr w14:paraId="6C39CC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843" w:type="dxa"/>
                  <w:noWrap w:val="0"/>
                  <w:vAlign w:val="center"/>
                </w:tcPr>
                <w:p w14:paraId="61CA3586">
                  <w:pPr>
                    <w:pStyle w:val="26"/>
                    <w:keepNext w:val="0"/>
                    <w:keepLines w:val="0"/>
                    <w:suppressLineNumbers w:val="0"/>
                    <w:kinsoku/>
                    <w:bidi w:val="0"/>
                    <w:spacing w:before="0" w:beforeAutospacing="0" w:after="0" w:afterAutospacing="0" w:line="240" w:lineRule="auto"/>
                    <w:ind w:left="0" w:leftChars="0" w:right="0" w:rightChars="0" w:firstLine="0" w:firstLineChars="0"/>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项目</w:t>
                  </w:r>
                </w:p>
              </w:tc>
              <w:tc>
                <w:tcPr>
                  <w:tcW w:w="2301" w:type="dxa"/>
                  <w:noWrap w:val="0"/>
                  <w:vAlign w:val="center"/>
                </w:tcPr>
                <w:p w14:paraId="7B212650">
                  <w:pPr>
                    <w:pStyle w:val="26"/>
                    <w:keepNext w:val="0"/>
                    <w:keepLines w:val="0"/>
                    <w:suppressLineNumbers w:val="0"/>
                    <w:kinsoku/>
                    <w:bidi w:val="0"/>
                    <w:spacing w:before="0" w:beforeAutospacing="0" w:after="0" w:afterAutospacing="0" w:line="240" w:lineRule="auto"/>
                    <w:ind w:left="0" w:leftChars="0" w:right="0" w:rightChars="0" w:firstLine="0" w:firstLineChars="0"/>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Ⅲ类水质标准</w:t>
                  </w:r>
                </w:p>
              </w:tc>
            </w:tr>
            <w:tr w14:paraId="19DEC3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3" w:type="dxa"/>
                  <w:noWrap w:val="0"/>
                  <w:vAlign w:val="center"/>
                </w:tcPr>
                <w:p w14:paraId="0BDD1188">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pH（无量纲）</w:t>
                  </w:r>
                </w:p>
              </w:tc>
              <w:tc>
                <w:tcPr>
                  <w:tcW w:w="2301" w:type="dxa"/>
                  <w:noWrap w:val="0"/>
                  <w:vAlign w:val="center"/>
                </w:tcPr>
                <w:p w14:paraId="68EF289F">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6~9</w:t>
                  </w:r>
                </w:p>
              </w:tc>
            </w:tr>
            <w:tr w14:paraId="36AEF2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3" w:type="dxa"/>
                  <w:noWrap w:val="0"/>
                  <w:vAlign w:val="center"/>
                </w:tcPr>
                <w:p w14:paraId="57009A3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化学需氧量</w:t>
                  </w:r>
                </w:p>
              </w:tc>
              <w:tc>
                <w:tcPr>
                  <w:tcW w:w="2301" w:type="dxa"/>
                  <w:noWrap w:val="0"/>
                  <w:vAlign w:val="center"/>
                </w:tcPr>
                <w:p w14:paraId="633E4F9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20</w:t>
                  </w:r>
                </w:p>
              </w:tc>
            </w:tr>
            <w:tr w14:paraId="7BE8FF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3" w:type="dxa"/>
                  <w:noWrap w:val="0"/>
                  <w:vAlign w:val="center"/>
                </w:tcPr>
                <w:p w14:paraId="17C218BA">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高锰酸盐指数</w:t>
                  </w:r>
                </w:p>
              </w:tc>
              <w:tc>
                <w:tcPr>
                  <w:tcW w:w="2301" w:type="dxa"/>
                  <w:noWrap w:val="0"/>
                  <w:vAlign w:val="center"/>
                </w:tcPr>
                <w:p w14:paraId="2B45C20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6</w:t>
                  </w:r>
                </w:p>
              </w:tc>
            </w:tr>
            <w:tr w14:paraId="5C9EB7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3" w:type="dxa"/>
                  <w:noWrap w:val="0"/>
                  <w:vAlign w:val="center"/>
                </w:tcPr>
                <w:p w14:paraId="3A4BD6A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BOD</w:t>
                  </w:r>
                  <w:r>
                    <w:rPr>
                      <w:rFonts w:hint="default" w:ascii="Times New Roman" w:hAnsi="Times New Roman" w:cs="Times New Roman"/>
                      <w:color w:val="000000"/>
                      <w:sz w:val="21"/>
                      <w:szCs w:val="21"/>
                      <w:vertAlign w:val="subscript"/>
                    </w:rPr>
                    <w:t>5</w:t>
                  </w:r>
                </w:p>
              </w:tc>
              <w:tc>
                <w:tcPr>
                  <w:tcW w:w="2301" w:type="dxa"/>
                  <w:noWrap w:val="0"/>
                  <w:vAlign w:val="center"/>
                </w:tcPr>
                <w:p w14:paraId="259B9962">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4</w:t>
                  </w:r>
                </w:p>
              </w:tc>
            </w:tr>
            <w:tr w14:paraId="5EF096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3" w:type="dxa"/>
                  <w:noWrap w:val="0"/>
                  <w:vAlign w:val="center"/>
                </w:tcPr>
                <w:p w14:paraId="28DC45E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DO</w:t>
                  </w:r>
                </w:p>
              </w:tc>
              <w:tc>
                <w:tcPr>
                  <w:tcW w:w="2301" w:type="dxa"/>
                  <w:noWrap w:val="0"/>
                  <w:vAlign w:val="center"/>
                </w:tcPr>
                <w:p w14:paraId="2E941D86">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5</w:t>
                  </w:r>
                </w:p>
              </w:tc>
            </w:tr>
            <w:tr w14:paraId="599499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3" w:type="dxa"/>
                  <w:noWrap w:val="0"/>
                  <w:vAlign w:val="center"/>
                </w:tcPr>
                <w:p w14:paraId="55287290">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氨氮（</w:t>
                  </w:r>
                  <w:r>
                    <w:rPr>
                      <w:rFonts w:hint="default" w:ascii="Times New Roman" w:hAnsi="Times New Roman" w:cs="Times New Roman"/>
                      <w:color w:val="000000"/>
                      <w:sz w:val="21"/>
                      <w:szCs w:val="21"/>
                      <w:lang w:val="en-US" w:eastAsia="zh-CN"/>
                    </w:rPr>
                    <w:t>NH</w:t>
                  </w:r>
                  <w:r>
                    <w:rPr>
                      <w:rFonts w:hint="default" w:ascii="Times New Roman" w:hAnsi="Times New Roman" w:cs="Times New Roman"/>
                      <w:color w:val="000000"/>
                      <w:sz w:val="21"/>
                      <w:szCs w:val="21"/>
                      <w:vertAlign w:val="subscript"/>
                      <w:lang w:val="en-US" w:eastAsia="zh-CN"/>
                    </w:rPr>
                    <w:t>3</w:t>
                  </w:r>
                  <w:r>
                    <w:rPr>
                      <w:rFonts w:hint="default" w:ascii="Times New Roman" w:hAnsi="Times New Roman" w:cs="Times New Roman"/>
                      <w:color w:val="000000"/>
                      <w:sz w:val="21"/>
                      <w:szCs w:val="21"/>
                      <w:lang w:val="en-US" w:eastAsia="zh-CN"/>
                    </w:rPr>
                    <w:t>-N</w:t>
                  </w:r>
                  <w:r>
                    <w:rPr>
                      <w:rFonts w:hint="default" w:ascii="Times New Roman" w:hAnsi="Times New Roman" w:cs="Times New Roman"/>
                      <w:color w:val="000000"/>
                      <w:sz w:val="21"/>
                      <w:szCs w:val="21"/>
                      <w:lang w:eastAsia="zh-CN"/>
                    </w:rPr>
                    <w:t>）</w:t>
                  </w:r>
                </w:p>
              </w:tc>
              <w:tc>
                <w:tcPr>
                  <w:tcW w:w="2301" w:type="dxa"/>
                  <w:noWrap w:val="0"/>
                  <w:vAlign w:val="center"/>
                </w:tcPr>
                <w:p w14:paraId="2CD9AB87">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1</w:t>
                  </w:r>
                </w:p>
              </w:tc>
            </w:tr>
            <w:tr w14:paraId="0BC1D4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3" w:type="dxa"/>
                  <w:noWrap w:val="0"/>
                  <w:vAlign w:val="center"/>
                </w:tcPr>
                <w:p w14:paraId="28431D52">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石油类</w:t>
                  </w:r>
                </w:p>
              </w:tc>
              <w:tc>
                <w:tcPr>
                  <w:tcW w:w="2301" w:type="dxa"/>
                  <w:noWrap w:val="0"/>
                  <w:vAlign w:val="center"/>
                </w:tcPr>
                <w:p w14:paraId="45DB4E31">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≤0.05</w:t>
                  </w:r>
                </w:p>
              </w:tc>
            </w:tr>
            <w:tr w14:paraId="2E3544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843" w:type="dxa"/>
                  <w:noWrap w:val="0"/>
                  <w:vAlign w:val="center"/>
                </w:tcPr>
                <w:p w14:paraId="1258C31A">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总磷</w:t>
                  </w:r>
                </w:p>
              </w:tc>
              <w:tc>
                <w:tcPr>
                  <w:tcW w:w="2301" w:type="dxa"/>
                  <w:noWrap w:val="0"/>
                  <w:vAlign w:val="center"/>
                </w:tcPr>
                <w:p w14:paraId="5DDA9A6F">
                  <w:pPr>
                    <w:pStyle w:val="2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≤0.</w:t>
                  </w:r>
                  <w:r>
                    <w:rPr>
                      <w:rFonts w:hint="eastAsia" w:ascii="Times New Roman" w:hAnsi="Times New Roman" w:cs="Times New Roman"/>
                      <w:color w:val="000000"/>
                      <w:sz w:val="21"/>
                      <w:szCs w:val="21"/>
                      <w:lang w:val="en-US" w:eastAsia="zh-CN"/>
                    </w:rPr>
                    <w:t>2</w:t>
                  </w:r>
                </w:p>
              </w:tc>
            </w:tr>
          </w:tbl>
          <w:p w14:paraId="00685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outlineLvl w:val="9"/>
              <w:rPr>
                <w:rFonts w:hint="default"/>
                <w:color w:val="000000"/>
                <w:lang w:val="en-US" w:eastAsia="zh-CN"/>
              </w:rPr>
            </w:pPr>
            <w:r>
              <w:rPr>
                <w:rFonts w:hint="eastAsia"/>
                <w:color w:val="000000"/>
                <w:lang w:val="en-US" w:eastAsia="zh-CN"/>
              </w:rPr>
              <w:t>2</w:t>
            </w:r>
            <w:r>
              <w:rPr>
                <w:rFonts w:hint="eastAsia"/>
                <w:color w:val="000000"/>
                <w:lang w:eastAsia="zh-CN"/>
              </w:rPr>
              <w:t>）</w:t>
            </w:r>
            <w:r>
              <w:rPr>
                <w:rFonts w:hint="eastAsia"/>
                <w:color w:val="000000"/>
                <w:lang w:val="en-US" w:eastAsia="zh-CN"/>
              </w:rPr>
              <w:t>水环境质量现状</w:t>
            </w:r>
          </w:p>
          <w:p w14:paraId="343763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000000"/>
              </w:rPr>
            </w:pPr>
            <w:r>
              <w:rPr>
                <w:rFonts w:hint="default" w:ascii="Times New Roman" w:hAnsi="Times New Roman" w:eastAsia="宋体" w:cs="Times New Roman"/>
                <w:color w:val="000000"/>
                <w:sz w:val="21"/>
              </w:rPr>
              <w:t>根据《20</w:t>
            </w:r>
            <w:r>
              <w:rPr>
                <w:rFonts w:hint="eastAsia" w:ascii="Times New Roman" w:hAnsi="Times New Roman" w:eastAsia="宋体" w:cs="Times New Roman"/>
                <w:color w:val="000000"/>
                <w:sz w:val="21"/>
                <w:lang w:val="en-US" w:eastAsia="zh-CN"/>
              </w:rPr>
              <w:t>23</w:t>
            </w:r>
            <w:r>
              <w:rPr>
                <w:rFonts w:hint="default" w:ascii="Times New Roman" w:hAnsi="Times New Roman" w:eastAsia="宋体" w:cs="Times New Roman"/>
                <w:color w:val="000000"/>
                <w:sz w:val="21"/>
              </w:rPr>
              <w:t>年</w:t>
            </w:r>
            <w:r>
              <w:rPr>
                <w:rFonts w:hint="default" w:ascii="Times New Roman" w:hAnsi="Times New Roman" w:eastAsia="宋体" w:cs="Times New Roman"/>
                <w:color w:val="000000"/>
                <w:sz w:val="21"/>
                <w:lang w:val="en-US" w:eastAsia="zh-CN"/>
              </w:rPr>
              <w:t>度泉州市生态环境状况公报</w:t>
            </w:r>
            <w:r>
              <w:rPr>
                <w:rFonts w:hint="default" w:ascii="Times New Roman" w:hAnsi="Times New Roman" w:eastAsia="宋体" w:cs="Times New Roman"/>
                <w:color w:val="000000"/>
                <w:sz w:val="21"/>
              </w:rPr>
              <w:t>》</w:t>
            </w:r>
            <w:r>
              <w:rPr>
                <w:rFonts w:hint="default" w:ascii="Times New Roman" w:hAnsi="Times New Roman" w:eastAsia="宋体" w:cs="Times New Roman"/>
                <w:color w:val="000000"/>
                <w:sz w:val="21"/>
                <w:lang w:val="en-US" w:eastAsia="zh-CN"/>
              </w:rPr>
              <w:t>（泉州市生态环境局202</w:t>
            </w:r>
            <w:r>
              <w:rPr>
                <w:rFonts w:hint="eastAsia" w:ascii="Times New Roman" w:hAnsi="Times New Roman" w:eastAsia="宋体" w:cs="Times New Roman"/>
                <w:color w:val="000000"/>
                <w:sz w:val="21"/>
                <w:lang w:val="en-US" w:eastAsia="zh-CN"/>
              </w:rPr>
              <w:t>4</w:t>
            </w:r>
            <w:r>
              <w:rPr>
                <w:rFonts w:hint="default" w:ascii="Times New Roman" w:hAnsi="Times New Roman" w:eastAsia="宋体" w:cs="Times New Roman"/>
                <w:color w:val="000000"/>
                <w:sz w:val="21"/>
                <w:lang w:val="en-US" w:eastAsia="zh-CN"/>
              </w:rPr>
              <w:t>年6月）</w:t>
            </w:r>
            <w:r>
              <w:rPr>
                <w:rFonts w:hint="default" w:ascii="Times New Roman" w:hAnsi="Times New Roman" w:eastAsia="宋体" w:cs="Times New Roman"/>
                <w:color w:val="000000"/>
                <w:sz w:val="21"/>
              </w:rPr>
              <w:t>，</w:t>
            </w:r>
            <w:r>
              <w:rPr>
                <w:rFonts w:hint="default" w:ascii="Times New Roman" w:hAnsi="Times New Roman" w:eastAsia="宋体" w:cs="Times New Roman"/>
                <w:color w:val="000000"/>
                <w:sz w:val="21"/>
                <w:lang w:val="en-US" w:eastAsia="zh-CN"/>
              </w:rPr>
              <w:t>20</w:t>
            </w:r>
            <w:r>
              <w:rPr>
                <w:rFonts w:hint="eastAsia" w:ascii="Times New Roman" w:hAnsi="Times New Roman" w:eastAsia="宋体" w:cs="Times New Roman"/>
                <w:color w:val="000000"/>
                <w:sz w:val="21"/>
                <w:lang w:val="en-US" w:eastAsia="zh-CN"/>
              </w:rPr>
              <w:t>23</w:t>
            </w:r>
            <w:r>
              <w:rPr>
                <w:rFonts w:hint="default" w:ascii="Times New Roman" w:hAnsi="Times New Roman" w:eastAsia="宋体" w:cs="Times New Roman"/>
                <w:color w:val="000000"/>
                <w:sz w:val="21"/>
                <w:lang w:val="en-US" w:eastAsia="zh-CN"/>
              </w:rPr>
              <w:t>年泉州市水环境质量总体保持良好。主要流域</w:t>
            </w:r>
            <w:r>
              <w:rPr>
                <w:rFonts w:hint="eastAsia" w:ascii="Times New Roman" w:hAnsi="Times New Roman" w:eastAsia="宋体" w:cs="Times New Roman"/>
                <w:color w:val="000000"/>
                <w:sz w:val="21"/>
                <w:lang w:val="en-US" w:eastAsia="zh-CN"/>
              </w:rPr>
              <w:t>14个国控断面、25个省控断面</w:t>
            </w:r>
            <w:r>
              <w:rPr>
                <w:rFonts w:hint="default" w:ascii="Times New Roman" w:hAnsi="Times New Roman" w:eastAsia="宋体" w:cs="Times New Roman"/>
                <w:color w:val="000000"/>
                <w:sz w:val="21"/>
                <w:lang w:val="en-US" w:eastAsia="zh-CN"/>
              </w:rPr>
              <w:t>Ⅰ～Ⅲ类水质</w:t>
            </w:r>
            <w:r>
              <w:rPr>
                <w:rFonts w:hint="eastAsia" w:ascii="Times New Roman" w:hAnsi="Times New Roman" w:eastAsia="宋体" w:cs="Times New Roman"/>
                <w:color w:val="000000"/>
                <w:sz w:val="21"/>
                <w:lang w:val="en-US" w:eastAsia="zh-CN"/>
              </w:rPr>
              <w:t>比例</w:t>
            </w:r>
            <w:r>
              <w:rPr>
                <w:rFonts w:hint="default" w:ascii="Times New Roman" w:hAnsi="Times New Roman" w:eastAsia="宋体" w:cs="Times New Roman"/>
                <w:color w:val="000000"/>
                <w:sz w:val="21"/>
                <w:lang w:val="en-US" w:eastAsia="zh-CN"/>
              </w:rPr>
              <w:t>为100%。</w:t>
            </w:r>
            <w:r>
              <w:rPr>
                <w:rFonts w:hint="default" w:ascii="Times New Roman" w:hAnsi="Times New Roman" w:eastAsia="宋体" w:cs="Times New Roman"/>
                <w:b w:val="0"/>
                <w:bCs w:val="0"/>
                <w:color w:val="000000"/>
                <w:sz w:val="21"/>
                <w:lang w:val="en-US" w:eastAsia="zh-CN"/>
              </w:rPr>
              <w:t>12个县级及以上集中式生活引用水水源地Ⅲ类水质达标率100%，34条小流域的39个监测考核断面Ⅰ～Ⅲ类水质比例为92.3%，Ⅳ类水质比例为5.1%，</w:t>
            </w:r>
            <w:r>
              <w:rPr>
                <w:rFonts w:hint="default" w:ascii="Times New Roman" w:hAnsi="Times New Roman" w:eastAsia="宋体" w:cs="Times New Roman"/>
                <w:b w:val="0"/>
                <w:bCs w:val="0"/>
                <w:color w:val="000000"/>
                <w:sz w:val="21"/>
                <w:szCs w:val="21"/>
                <w:lang w:val="en-US" w:eastAsia="zh-CN"/>
              </w:rPr>
              <w:t>V类水质比例为2.6%</w:t>
            </w:r>
            <w:r>
              <w:rPr>
                <w:rFonts w:hint="default" w:ascii="Times New Roman" w:hAnsi="Times New Roman" w:eastAsia="宋体" w:cs="Times New Roman"/>
                <w:color w:val="000000"/>
                <w:sz w:val="21"/>
                <w:lang w:val="en-US" w:eastAsia="zh-CN"/>
              </w:rPr>
              <w:t>。山美水库总体水质为Ⅱ类，惠女水库总体水质为Ⅲ类。</w:t>
            </w:r>
            <w:r>
              <w:rPr>
                <w:rFonts w:hint="default" w:ascii="Times New Roman" w:hAnsi="Times New Roman" w:eastAsia="宋体" w:cs="Times New Roman"/>
                <w:color w:val="000000"/>
                <w:sz w:val="21"/>
              </w:rPr>
              <w:t>近岸海域海水水质总体优</w:t>
            </w:r>
            <w:r>
              <w:rPr>
                <w:rFonts w:hint="eastAsia" w:ascii="Times New Roman" w:hAnsi="Times New Roman" w:eastAsia="宋体" w:cs="Times New Roman"/>
                <w:color w:val="000000"/>
                <w:sz w:val="21"/>
                <w:lang w:eastAsia="zh-CN"/>
              </w:rPr>
              <w:t>，</w:t>
            </w:r>
            <w:r>
              <w:rPr>
                <w:rFonts w:hint="eastAsia" w:ascii="Times New Roman" w:hAnsi="Times New Roman" w:eastAsia="宋体" w:cs="Times New Roman"/>
                <w:color w:val="000000"/>
                <w:sz w:val="21"/>
                <w:lang w:val="en-US" w:eastAsia="zh-CN"/>
              </w:rPr>
              <w:t>近岸海域一、二类海水水质点位比例91.7%。</w:t>
            </w:r>
            <w:r>
              <w:rPr>
                <w:rFonts w:hint="default" w:ascii="Times New Roman" w:hAnsi="Times New Roman" w:eastAsia="宋体" w:cs="Times New Roman"/>
                <w:color w:val="000000"/>
                <w:sz w:val="21"/>
                <w:lang w:val="en-US" w:eastAsia="zh-CN"/>
              </w:rPr>
              <w:t>水环境质量良好</w:t>
            </w:r>
            <w:r>
              <w:rPr>
                <w:rFonts w:hint="eastAsia" w:ascii="Times New Roman" w:hAnsi="Times New Roman" w:eastAsia="宋体" w:cs="Times New Roman"/>
                <w:color w:val="000000"/>
                <w:sz w:val="21"/>
                <w:lang w:val="en-US" w:eastAsia="zh-CN"/>
              </w:rPr>
              <w:t>。</w:t>
            </w:r>
          </w:p>
          <w:p w14:paraId="781F2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outlineLvl w:val="9"/>
              <w:rPr>
                <w:rFonts w:hint="eastAsia" w:ascii="Times New Roman" w:hAnsi="Times New Roman" w:eastAsia="宋体" w:cs="宋体"/>
                <w:color w:val="000000"/>
                <w:sz w:val="21"/>
                <w:szCs w:val="21"/>
                <w:lang w:eastAsia="zh-CN"/>
              </w:rPr>
            </w:pPr>
            <w:r>
              <w:rPr>
                <w:rFonts w:hint="eastAsia" w:ascii="Times New Roman" w:hAnsi="Times New Roman" w:eastAsia="宋体" w:cs="宋体"/>
                <w:b/>
                <w:bCs/>
                <w:color w:val="000000"/>
                <w:sz w:val="21"/>
                <w:szCs w:val="21"/>
                <w:lang w:eastAsia="zh-CN"/>
              </w:rPr>
              <w:t>（</w:t>
            </w:r>
            <w:r>
              <w:rPr>
                <w:rFonts w:hint="eastAsia" w:ascii="Times New Roman" w:hAnsi="Times New Roman" w:eastAsia="宋体" w:cs="宋体"/>
                <w:b/>
                <w:bCs/>
                <w:color w:val="000000"/>
                <w:sz w:val="21"/>
                <w:szCs w:val="21"/>
                <w:lang w:val="en-US" w:eastAsia="zh-CN"/>
              </w:rPr>
              <w:t>2</w:t>
            </w:r>
            <w:r>
              <w:rPr>
                <w:rFonts w:hint="eastAsia" w:ascii="Times New Roman" w:hAnsi="Times New Roman" w:eastAsia="宋体" w:cs="宋体"/>
                <w:b/>
                <w:bCs/>
                <w:color w:val="000000"/>
                <w:sz w:val="21"/>
                <w:szCs w:val="21"/>
                <w:lang w:eastAsia="zh-CN"/>
              </w:rPr>
              <w:t>）</w:t>
            </w:r>
            <w:r>
              <w:rPr>
                <w:rFonts w:hint="eastAsia" w:ascii="Times New Roman" w:hAnsi="Times New Roman" w:eastAsia="宋体" w:cs="宋体"/>
                <w:b/>
                <w:bCs/>
                <w:color w:val="000000"/>
                <w:sz w:val="21"/>
                <w:szCs w:val="21"/>
              </w:rPr>
              <w:t>大气环境质量现状</w:t>
            </w:r>
          </w:p>
          <w:p w14:paraId="1A1B06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default" w:ascii="Times New Roman" w:hAnsi="Times New Roman" w:eastAsia="宋体" w:cs="宋体"/>
                <w:b w:val="0"/>
                <w:bCs w:val="0"/>
                <w:color w:val="000000"/>
                <w:sz w:val="21"/>
                <w:szCs w:val="21"/>
                <w:highlight w:val="none"/>
                <w:lang w:val="en-US" w:eastAsia="zh-CN"/>
              </w:rPr>
            </w:pPr>
            <w:r>
              <w:rPr>
                <w:rFonts w:hint="eastAsia" w:ascii="Times New Roman" w:hAnsi="Times New Roman" w:eastAsia="宋体" w:cs="宋体"/>
                <w:b w:val="0"/>
                <w:bCs w:val="0"/>
                <w:color w:val="000000"/>
                <w:sz w:val="21"/>
                <w:szCs w:val="21"/>
                <w:highlight w:val="none"/>
                <w:lang w:val="en-US" w:eastAsia="zh-CN"/>
              </w:rPr>
              <w:t>1）环境空气质量标准</w:t>
            </w:r>
          </w:p>
          <w:p w14:paraId="0137F3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eastAsia="zh-CN"/>
              </w:rPr>
              <w:t>①</w:t>
            </w:r>
            <w:r>
              <w:rPr>
                <w:rFonts w:hint="default" w:ascii="Times New Roman" w:hAnsi="Times New Roman" w:cs="Times New Roman"/>
                <w:color w:val="000000"/>
                <w:sz w:val="21"/>
                <w:szCs w:val="21"/>
              </w:rPr>
              <w:t>常规因子</w:t>
            </w:r>
          </w:p>
          <w:p w14:paraId="6B6519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根据《泉州市环境空气质量功能区类别划分方案》，本项目所在地环境空气功能划分为二类区域，执行《环境空气质量标准》（GB3095-2012）</w:t>
            </w:r>
            <w:r>
              <w:rPr>
                <w:rFonts w:hint="default"/>
                <w:color w:val="000000"/>
              </w:rPr>
              <w:t>及其修改单</w:t>
            </w:r>
            <w:r>
              <w:rPr>
                <w:rFonts w:hint="eastAsia"/>
                <w:color w:val="000000"/>
                <w:lang w:val="en-US" w:eastAsia="zh-CN"/>
              </w:rPr>
              <w:t>的</w:t>
            </w:r>
            <w:r>
              <w:rPr>
                <w:rFonts w:hint="default" w:ascii="Times New Roman" w:hAnsi="Times New Roman" w:cs="Times New Roman"/>
                <w:color w:val="000000"/>
                <w:sz w:val="21"/>
                <w:szCs w:val="21"/>
              </w:rPr>
              <w:t>二级标准，部分指标详见</w:t>
            </w:r>
            <w:r>
              <w:rPr>
                <w:rFonts w:hint="default" w:ascii="Times New Roman" w:hAnsi="Times New Roman" w:cs="Times New Roman"/>
                <w:b/>
                <w:bCs/>
                <w:color w:val="000000"/>
                <w:sz w:val="21"/>
                <w:szCs w:val="21"/>
              </w:rPr>
              <w:t>表</w:t>
            </w:r>
            <w:r>
              <w:rPr>
                <w:rFonts w:hint="eastAsia" w:ascii="Times New Roman" w:hAnsi="Times New Roman" w:cs="Times New Roman"/>
                <w:b/>
                <w:bCs/>
                <w:color w:val="000000"/>
                <w:sz w:val="21"/>
                <w:szCs w:val="21"/>
                <w:lang w:val="en-US" w:eastAsia="zh-CN"/>
              </w:rPr>
              <w:t>3</w:t>
            </w:r>
            <w:r>
              <w:rPr>
                <w:rFonts w:hint="default" w:ascii="Times New Roman" w:hAnsi="Times New Roman" w:cs="Times New Roman"/>
                <w:b/>
                <w:bCs/>
                <w:color w:val="000000"/>
                <w:sz w:val="21"/>
                <w:szCs w:val="21"/>
              </w:rPr>
              <w:t>-</w:t>
            </w:r>
            <w:r>
              <w:rPr>
                <w:rFonts w:hint="eastAsia" w:cs="Times New Roman"/>
                <w:b/>
                <w:bCs/>
                <w:color w:val="000000"/>
                <w:sz w:val="21"/>
                <w:szCs w:val="21"/>
                <w:lang w:val="en-US" w:eastAsia="zh-CN"/>
              </w:rPr>
              <w:t>2</w:t>
            </w:r>
            <w:r>
              <w:rPr>
                <w:rFonts w:hint="default" w:ascii="Times New Roman" w:hAnsi="Times New Roman" w:cs="Times New Roman"/>
                <w:color w:val="000000"/>
                <w:sz w:val="21"/>
                <w:szCs w:val="21"/>
              </w:rPr>
              <w:t>。</w:t>
            </w:r>
          </w:p>
          <w:p w14:paraId="44C92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bCs/>
                <w:color w:val="000000"/>
                <w:highlight w:val="none"/>
                <w:lang w:val="en-US" w:eastAsia="zh-CN"/>
              </w:rPr>
            </w:pPr>
            <w:r>
              <w:rPr>
                <w:rFonts w:hint="default" w:ascii="宋体" w:hAnsi="宋体" w:eastAsia="宋体" w:cs="宋体"/>
                <w:b/>
                <w:bCs/>
                <w:color w:val="000000"/>
                <w:highlight w:val="none"/>
                <w:lang w:val="en-US" w:eastAsia="zh-CN"/>
              </w:rPr>
              <w:t>表</w:t>
            </w:r>
            <w:r>
              <w:rPr>
                <w:rFonts w:hint="default" w:ascii="Times New Roman" w:hAnsi="Times New Roman" w:eastAsia="宋体" w:cs="Times New Roman"/>
                <w:b/>
                <w:bCs/>
                <w:color w:val="000000"/>
                <w:highlight w:val="none"/>
                <w:lang w:val="en-US" w:eastAsia="zh-CN"/>
              </w:rPr>
              <w:t>3-</w:t>
            </w:r>
            <w:r>
              <w:rPr>
                <w:rFonts w:hint="eastAsia" w:cs="Times New Roman"/>
                <w:b/>
                <w:bCs/>
                <w:color w:val="000000"/>
                <w:highlight w:val="none"/>
                <w:lang w:val="en-US" w:eastAsia="zh-CN"/>
              </w:rPr>
              <w:t>2</w:t>
            </w:r>
            <w:r>
              <w:rPr>
                <w:rFonts w:hint="default" w:ascii="宋体" w:hAnsi="宋体" w:eastAsia="宋体" w:cs="宋体"/>
                <w:b/>
                <w:bCs/>
                <w:color w:val="000000"/>
                <w:highlight w:val="none"/>
                <w:lang w:val="en-US" w:eastAsia="zh-CN"/>
              </w:rPr>
              <w:t xml:space="preserve"> </w:t>
            </w:r>
            <w:r>
              <w:rPr>
                <w:rFonts w:hint="eastAsia" w:ascii="宋体" w:hAnsi="宋体" w:eastAsia="宋体" w:cs="宋体"/>
                <w:b/>
                <w:bCs/>
                <w:color w:val="000000"/>
                <w:highlight w:val="none"/>
                <w:lang w:val="en-US" w:eastAsia="zh-CN"/>
              </w:rPr>
              <w:t xml:space="preserve"> </w:t>
            </w:r>
            <w:r>
              <w:rPr>
                <w:rFonts w:hint="default" w:ascii="宋体" w:hAnsi="宋体" w:eastAsia="宋体" w:cs="宋体"/>
                <w:b/>
                <w:bCs/>
                <w:color w:val="000000"/>
                <w:highlight w:val="none"/>
                <w:lang w:val="en-US" w:eastAsia="zh-CN"/>
              </w:rPr>
              <w:t>《环境空气质量标准》表1（摘录）</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16"/>
              <w:gridCol w:w="3127"/>
              <w:gridCol w:w="2152"/>
              <w:gridCol w:w="1857"/>
            </w:tblGrid>
            <w:tr w14:paraId="1C987F2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tcBorders>
                    <w:tl2br w:val="nil"/>
                    <w:tr2bl w:val="nil"/>
                  </w:tcBorders>
                  <w:noWrap w:val="0"/>
                  <w:vAlign w:val="center"/>
                </w:tcPr>
                <w:p w14:paraId="4110BA97">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序号</w:t>
                  </w:r>
                </w:p>
              </w:tc>
              <w:tc>
                <w:tcPr>
                  <w:tcW w:w="3127" w:type="dxa"/>
                  <w:tcBorders>
                    <w:tl2br w:val="nil"/>
                    <w:tr2bl w:val="nil"/>
                  </w:tcBorders>
                  <w:noWrap w:val="0"/>
                  <w:vAlign w:val="center"/>
                </w:tcPr>
                <w:p w14:paraId="21847858">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污染物名称</w:t>
                  </w:r>
                </w:p>
              </w:tc>
              <w:tc>
                <w:tcPr>
                  <w:tcW w:w="2152" w:type="dxa"/>
                  <w:tcBorders>
                    <w:tl2br w:val="nil"/>
                    <w:tr2bl w:val="nil"/>
                  </w:tcBorders>
                  <w:noWrap w:val="0"/>
                  <w:vAlign w:val="center"/>
                </w:tcPr>
                <w:p w14:paraId="70DF48B1">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取值时间</w:t>
                  </w:r>
                </w:p>
              </w:tc>
              <w:tc>
                <w:tcPr>
                  <w:tcW w:w="1857" w:type="dxa"/>
                  <w:tcBorders>
                    <w:tl2br w:val="nil"/>
                    <w:tr2bl w:val="nil"/>
                  </w:tcBorders>
                  <w:noWrap w:val="0"/>
                  <w:vAlign w:val="center"/>
                </w:tcPr>
                <w:p w14:paraId="6D6B9C40">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浓度限值(μg/m</w:t>
                  </w:r>
                  <w:r>
                    <w:rPr>
                      <w:rFonts w:hint="default" w:ascii="Times New Roman" w:hAnsi="Times New Roman" w:eastAsia="宋体" w:cs="Times New Roman"/>
                      <w:b/>
                      <w:bCs/>
                      <w:color w:val="000000"/>
                      <w:sz w:val="21"/>
                      <w:szCs w:val="21"/>
                      <w:vertAlign w:val="superscript"/>
                    </w:rPr>
                    <w:t>3</w:t>
                  </w:r>
                  <w:r>
                    <w:rPr>
                      <w:rFonts w:hint="default" w:ascii="Times New Roman" w:hAnsi="Times New Roman" w:eastAsia="宋体" w:cs="Times New Roman"/>
                      <w:b/>
                      <w:bCs/>
                      <w:color w:val="000000"/>
                      <w:sz w:val="21"/>
                      <w:szCs w:val="21"/>
                    </w:rPr>
                    <w:t>)</w:t>
                  </w:r>
                </w:p>
              </w:tc>
            </w:tr>
            <w:tr w14:paraId="31312AE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restart"/>
                  <w:tcBorders>
                    <w:tl2br w:val="nil"/>
                    <w:tr2bl w:val="nil"/>
                  </w:tcBorders>
                  <w:noWrap w:val="0"/>
                  <w:vAlign w:val="center"/>
                </w:tcPr>
                <w:p w14:paraId="379B8AE1">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3127" w:type="dxa"/>
                  <w:vMerge w:val="restart"/>
                  <w:tcBorders>
                    <w:tl2br w:val="nil"/>
                    <w:tr2bl w:val="nil"/>
                  </w:tcBorders>
                  <w:noWrap w:val="0"/>
                  <w:vAlign w:val="center"/>
                </w:tcPr>
                <w:p w14:paraId="44EAF3FC">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二氧化硫（SO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w:t>
                  </w:r>
                </w:p>
              </w:tc>
              <w:tc>
                <w:tcPr>
                  <w:tcW w:w="2152" w:type="dxa"/>
                  <w:tcBorders>
                    <w:tl2br w:val="nil"/>
                    <w:tr2bl w:val="nil"/>
                  </w:tcBorders>
                  <w:noWrap w:val="0"/>
                  <w:vAlign w:val="center"/>
                </w:tcPr>
                <w:p w14:paraId="621AE3FB">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年平均</w:t>
                  </w:r>
                </w:p>
              </w:tc>
              <w:tc>
                <w:tcPr>
                  <w:tcW w:w="1857" w:type="dxa"/>
                  <w:tcBorders>
                    <w:tl2br w:val="nil"/>
                    <w:tr2bl w:val="nil"/>
                  </w:tcBorders>
                  <w:noWrap w:val="0"/>
                  <w:vAlign w:val="center"/>
                </w:tcPr>
                <w:p w14:paraId="51D087DC">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60</w:t>
                  </w:r>
                </w:p>
              </w:tc>
            </w:tr>
            <w:tr w14:paraId="1AC1F1A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continue"/>
                  <w:tcBorders>
                    <w:tl2br w:val="nil"/>
                    <w:tr2bl w:val="nil"/>
                  </w:tcBorders>
                  <w:noWrap w:val="0"/>
                  <w:vAlign w:val="center"/>
                </w:tcPr>
                <w:p w14:paraId="064DDA70">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3127" w:type="dxa"/>
                  <w:vMerge w:val="continue"/>
                  <w:tcBorders>
                    <w:tl2br w:val="nil"/>
                    <w:tr2bl w:val="nil"/>
                  </w:tcBorders>
                  <w:noWrap w:val="0"/>
                  <w:vAlign w:val="center"/>
                </w:tcPr>
                <w:p w14:paraId="24956EF8">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2152" w:type="dxa"/>
                  <w:tcBorders>
                    <w:tl2br w:val="nil"/>
                    <w:tr2bl w:val="nil"/>
                  </w:tcBorders>
                  <w:noWrap w:val="0"/>
                  <w:vAlign w:val="center"/>
                </w:tcPr>
                <w:p w14:paraId="1E87E9AA">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24小时平均</w:t>
                  </w:r>
                </w:p>
              </w:tc>
              <w:tc>
                <w:tcPr>
                  <w:tcW w:w="1857" w:type="dxa"/>
                  <w:tcBorders>
                    <w:tl2br w:val="nil"/>
                    <w:tr2bl w:val="nil"/>
                  </w:tcBorders>
                  <w:noWrap w:val="0"/>
                  <w:vAlign w:val="center"/>
                </w:tcPr>
                <w:p w14:paraId="77E3745B">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150</w:t>
                  </w:r>
                </w:p>
              </w:tc>
            </w:tr>
            <w:tr w14:paraId="214BB7F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continue"/>
                  <w:tcBorders>
                    <w:tl2br w:val="nil"/>
                    <w:tr2bl w:val="nil"/>
                  </w:tcBorders>
                  <w:noWrap w:val="0"/>
                  <w:vAlign w:val="center"/>
                </w:tcPr>
                <w:p w14:paraId="7C0D960E">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3127" w:type="dxa"/>
                  <w:vMerge w:val="continue"/>
                  <w:tcBorders>
                    <w:tl2br w:val="nil"/>
                    <w:tr2bl w:val="nil"/>
                  </w:tcBorders>
                  <w:noWrap w:val="0"/>
                  <w:vAlign w:val="center"/>
                </w:tcPr>
                <w:p w14:paraId="347B1BD3">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2152" w:type="dxa"/>
                  <w:tcBorders>
                    <w:tl2br w:val="nil"/>
                    <w:tr2bl w:val="nil"/>
                  </w:tcBorders>
                  <w:noWrap w:val="0"/>
                  <w:vAlign w:val="center"/>
                </w:tcPr>
                <w:p w14:paraId="226530B2">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1小时平均</w:t>
                  </w:r>
                </w:p>
              </w:tc>
              <w:tc>
                <w:tcPr>
                  <w:tcW w:w="1857" w:type="dxa"/>
                  <w:tcBorders>
                    <w:tl2br w:val="nil"/>
                    <w:tr2bl w:val="nil"/>
                  </w:tcBorders>
                  <w:noWrap w:val="0"/>
                  <w:vAlign w:val="center"/>
                </w:tcPr>
                <w:p w14:paraId="230E575A">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500</w:t>
                  </w:r>
                </w:p>
              </w:tc>
            </w:tr>
            <w:tr w14:paraId="7DC706D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restart"/>
                  <w:tcBorders>
                    <w:tl2br w:val="nil"/>
                    <w:tr2bl w:val="nil"/>
                  </w:tcBorders>
                  <w:noWrap w:val="0"/>
                  <w:vAlign w:val="center"/>
                </w:tcPr>
                <w:p w14:paraId="0FAD0C88">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3127" w:type="dxa"/>
                  <w:vMerge w:val="restart"/>
                  <w:tcBorders>
                    <w:tl2br w:val="nil"/>
                    <w:tr2bl w:val="nil"/>
                  </w:tcBorders>
                  <w:noWrap w:val="0"/>
                  <w:vAlign w:val="center"/>
                </w:tcPr>
                <w:p w14:paraId="7F84B972">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二氧化氮（NO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w:t>
                  </w:r>
                </w:p>
              </w:tc>
              <w:tc>
                <w:tcPr>
                  <w:tcW w:w="2152" w:type="dxa"/>
                  <w:tcBorders>
                    <w:tl2br w:val="nil"/>
                    <w:tr2bl w:val="nil"/>
                  </w:tcBorders>
                  <w:noWrap w:val="0"/>
                  <w:vAlign w:val="center"/>
                </w:tcPr>
                <w:p w14:paraId="1B0140A1">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年平均</w:t>
                  </w:r>
                </w:p>
              </w:tc>
              <w:tc>
                <w:tcPr>
                  <w:tcW w:w="1857" w:type="dxa"/>
                  <w:tcBorders>
                    <w:tl2br w:val="nil"/>
                    <w:tr2bl w:val="nil"/>
                  </w:tcBorders>
                  <w:noWrap w:val="0"/>
                  <w:vAlign w:val="center"/>
                </w:tcPr>
                <w:p w14:paraId="5463D570">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r>
            <w:tr w14:paraId="5967D89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continue"/>
                  <w:tcBorders>
                    <w:tl2br w:val="nil"/>
                    <w:tr2bl w:val="nil"/>
                  </w:tcBorders>
                  <w:noWrap w:val="0"/>
                  <w:vAlign w:val="center"/>
                </w:tcPr>
                <w:p w14:paraId="65F2A48B">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3127" w:type="dxa"/>
                  <w:vMerge w:val="continue"/>
                  <w:tcBorders>
                    <w:tl2br w:val="nil"/>
                    <w:tr2bl w:val="nil"/>
                  </w:tcBorders>
                  <w:noWrap w:val="0"/>
                  <w:vAlign w:val="center"/>
                </w:tcPr>
                <w:p w14:paraId="2011242B">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2152" w:type="dxa"/>
                  <w:tcBorders>
                    <w:tl2br w:val="nil"/>
                    <w:tr2bl w:val="nil"/>
                  </w:tcBorders>
                  <w:noWrap w:val="0"/>
                  <w:vAlign w:val="center"/>
                </w:tcPr>
                <w:p w14:paraId="042A4138">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24小时平均</w:t>
                  </w:r>
                </w:p>
              </w:tc>
              <w:tc>
                <w:tcPr>
                  <w:tcW w:w="1857" w:type="dxa"/>
                  <w:tcBorders>
                    <w:tl2br w:val="nil"/>
                    <w:tr2bl w:val="nil"/>
                  </w:tcBorders>
                  <w:noWrap w:val="0"/>
                  <w:vAlign w:val="center"/>
                </w:tcPr>
                <w:p w14:paraId="6BFCA379">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80</w:t>
                  </w:r>
                </w:p>
              </w:tc>
            </w:tr>
            <w:tr w14:paraId="7D9FC57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continue"/>
                  <w:tcBorders>
                    <w:tl2br w:val="nil"/>
                    <w:tr2bl w:val="nil"/>
                  </w:tcBorders>
                  <w:noWrap w:val="0"/>
                  <w:vAlign w:val="center"/>
                </w:tcPr>
                <w:p w14:paraId="0DE9785C">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3127" w:type="dxa"/>
                  <w:vMerge w:val="continue"/>
                  <w:tcBorders>
                    <w:tl2br w:val="nil"/>
                    <w:tr2bl w:val="nil"/>
                  </w:tcBorders>
                  <w:noWrap w:val="0"/>
                  <w:vAlign w:val="center"/>
                </w:tcPr>
                <w:p w14:paraId="432696B5">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2152" w:type="dxa"/>
                  <w:tcBorders>
                    <w:tl2br w:val="nil"/>
                    <w:tr2bl w:val="nil"/>
                  </w:tcBorders>
                  <w:noWrap w:val="0"/>
                  <w:vAlign w:val="center"/>
                </w:tcPr>
                <w:p w14:paraId="32694F07">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1小时平均</w:t>
                  </w:r>
                </w:p>
              </w:tc>
              <w:tc>
                <w:tcPr>
                  <w:tcW w:w="1857" w:type="dxa"/>
                  <w:tcBorders>
                    <w:tl2br w:val="nil"/>
                    <w:tr2bl w:val="nil"/>
                  </w:tcBorders>
                  <w:noWrap w:val="0"/>
                  <w:vAlign w:val="center"/>
                </w:tcPr>
                <w:p w14:paraId="4A58A39D">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200</w:t>
                  </w:r>
                </w:p>
              </w:tc>
            </w:tr>
            <w:tr w14:paraId="102BE8C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restart"/>
                  <w:tcBorders>
                    <w:tl2br w:val="nil"/>
                    <w:tr2bl w:val="nil"/>
                  </w:tcBorders>
                  <w:noWrap w:val="0"/>
                  <w:vAlign w:val="center"/>
                </w:tcPr>
                <w:p w14:paraId="47AC8733">
                  <w:pPr>
                    <w:keepNext w:val="0"/>
                    <w:keepLines w:val="0"/>
                    <w:widowControl/>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3127" w:type="dxa"/>
                  <w:vMerge w:val="restart"/>
                  <w:tcBorders>
                    <w:tl2br w:val="nil"/>
                    <w:tr2bl w:val="nil"/>
                  </w:tcBorders>
                  <w:noWrap w:val="0"/>
                  <w:vAlign w:val="center"/>
                </w:tcPr>
                <w:p w14:paraId="47AC6C7E">
                  <w:pPr>
                    <w:keepNext w:val="0"/>
                    <w:keepLines w:val="0"/>
                    <w:widowControl/>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一氧化碳（CO）</w:t>
                  </w:r>
                </w:p>
              </w:tc>
              <w:tc>
                <w:tcPr>
                  <w:tcW w:w="2152" w:type="dxa"/>
                  <w:tcBorders>
                    <w:tl2br w:val="nil"/>
                    <w:tr2bl w:val="nil"/>
                  </w:tcBorders>
                  <w:noWrap w:val="0"/>
                  <w:vAlign w:val="center"/>
                </w:tcPr>
                <w:p w14:paraId="5F96C706">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24小时平均</w:t>
                  </w:r>
                </w:p>
              </w:tc>
              <w:tc>
                <w:tcPr>
                  <w:tcW w:w="1857" w:type="dxa"/>
                  <w:tcBorders>
                    <w:tl2br w:val="nil"/>
                    <w:tr2bl w:val="nil"/>
                  </w:tcBorders>
                  <w:noWrap w:val="0"/>
                  <w:vAlign w:val="center"/>
                </w:tcPr>
                <w:p w14:paraId="2D122AF5">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4000</w:t>
                  </w:r>
                </w:p>
              </w:tc>
            </w:tr>
            <w:tr w14:paraId="2B02868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continue"/>
                  <w:tcBorders>
                    <w:tl2br w:val="nil"/>
                    <w:tr2bl w:val="nil"/>
                  </w:tcBorders>
                  <w:noWrap w:val="0"/>
                  <w:vAlign w:val="center"/>
                </w:tcPr>
                <w:p w14:paraId="7F4CB300">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rPr>
                  </w:pPr>
                </w:p>
              </w:tc>
              <w:tc>
                <w:tcPr>
                  <w:tcW w:w="3127" w:type="dxa"/>
                  <w:vMerge w:val="continue"/>
                  <w:tcBorders>
                    <w:tl2br w:val="nil"/>
                    <w:tr2bl w:val="nil"/>
                  </w:tcBorders>
                  <w:noWrap w:val="0"/>
                  <w:vAlign w:val="center"/>
                </w:tcPr>
                <w:p w14:paraId="3E00EFF0">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rPr>
                  </w:pPr>
                </w:p>
              </w:tc>
              <w:tc>
                <w:tcPr>
                  <w:tcW w:w="2152" w:type="dxa"/>
                  <w:tcBorders>
                    <w:tl2br w:val="nil"/>
                    <w:tr2bl w:val="nil"/>
                  </w:tcBorders>
                  <w:noWrap w:val="0"/>
                  <w:vAlign w:val="center"/>
                </w:tcPr>
                <w:p w14:paraId="2E0FEBBD">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1小时平均</w:t>
                  </w:r>
                </w:p>
              </w:tc>
              <w:tc>
                <w:tcPr>
                  <w:tcW w:w="1857" w:type="dxa"/>
                  <w:tcBorders>
                    <w:tl2br w:val="nil"/>
                    <w:tr2bl w:val="nil"/>
                  </w:tcBorders>
                  <w:noWrap w:val="0"/>
                  <w:vAlign w:val="center"/>
                </w:tcPr>
                <w:p w14:paraId="73CB76AA">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10000</w:t>
                  </w:r>
                </w:p>
              </w:tc>
            </w:tr>
            <w:tr w14:paraId="19E48DC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restart"/>
                  <w:tcBorders>
                    <w:tl2br w:val="nil"/>
                    <w:tr2bl w:val="nil"/>
                  </w:tcBorders>
                  <w:noWrap w:val="0"/>
                  <w:vAlign w:val="center"/>
                </w:tcPr>
                <w:p w14:paraId="165E0190">
                  <w:pPr>
                    <w:keepNext w:val="0"/>
                    <w:keepLines w:val="0"/>
                    <w:widowControl/>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3127" w:type="dxa"/>
                  <w:vMerge w:val="restart"/>
                  <w:tcBorders>
                    <w:tl2br w:val="nil"/>
                    <w:tr2bl w:val="nil"/>
                  </w:tcBorders>
                  <w:noWrap w:val="0"/>
                  <w:vAlign w:val="center"/>
                </w:tcPr>
                <w:p w14:paraId="1E3660F4">
                  <w:pPr>
                    <w:keepNext w:val="0"/>
                    <w:keepLines w:val="0"/>
                    <w:widowControl/>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臭氧（O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w:t>
                  </w:r>
                </w:p>
              </w:tc>
              <w:tc>
                <w:tcPr>
                  <w:tcW w:w="2152" w:type="dxa"/>
                  <w:tcBorders>
                    <w:tl2br w:val="nil"/>
                    <w:tr2bl w:val="nil"/>
                  </w:tcBorders>
                  <w:noWrap w:val="0"/>
                  <w:vAlign w:val="center"/>
                </w:tcPr>
                <w:p w14:paraId="25726452">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日最大8小时平均</w:t>
                  </w:r>
                </w:p>
              </w:tc>
              <w:tc>
                <w:tcPr>
                  <w:tcW w:w="1857" w:type="dxa"/>
                  <w:tcBorders>
                    <w:tl2br w:val="nil"/>
                    <w:tr2bl w:val="nil"/>
                  </w:tcBorders>
                  <w:noWrap w:val="0"/>
                  <w:vAlign w:val="center"/>
                </w:tcPr>
                <w:p w14:paraId="786A2402">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160</w:t>
                  </w:r>
                </w:p>
              </w:tc>
            </w:tr>
            <w:tr w14:paraId="3F98C5C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40" w:hRule="atLeast"/>
                <w:jc w:val="center"/>
              </w:trPr>
              <w:tc>
                <w:tcPr>
                  <w:tcW w:w="716" w:type="dxa"/>
                  <w:vMerge w:val="continue"/>
                  <w:tcBorders>
                    <w:tl2br w:val="nil"/>
                    <w:tr2bl w:val="nil"/>
                  </w:tcBorders>
                  <w:noWrap w:val="0"/>
                  <w:vAlign w:val="center"/>
                </w:tcPr>
                <w:p w14:paraId="21140B0C">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rPr>
                  </w:pPr>
                </w:p>
              </w:tc>
              <w:tc>
                <w:tcPr>
                  <w:tcW w:w="3127" w:type="dxa"/>
                  <w:vMerge w:val="continue"/>
                  <w:tcBorders>
                    <w:tl2br w:val="nil"/>
                    <w:tr2bl w:val="nil"/>
                  </w:tcBorders>
                  <w:noWrap w:val="0"/>
                  <w:vAlign w:val="center"/>
                </w:tcPr>
                <w:p w14:paraId="55C97156">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rPr>
                  </w:pPr>
                </w:p>
              </w:tc>
              <w:tc>
                <w:tcPr>
                  <w:tcW w:w="2152" w:type="dxa"/>
                  <w:tcBorders>
                    <w:tl2br w:val="nil"/>
                    <w:tr2bl w:val="nil"/>
                  </w:tcBorders>
                  <w:noWrap w:val="0"/>
                  <w:vAlign w:val="center"/>
                </w:tcPr>
                <w:p w14:paraId="7AE997BE">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1小时平均</w:t>
                  </w:r>
                </w:p>
              </w:tc>
              <w:tc>
                <w:tcPr>
                  <w:tcW w:w="1857" w:type="dxa"/>
                  <w:tcBorders>
                    <w:tl2br w:val="nil"/>
                    <w:tr2bl w:val="nil"/>
                  </w:tcBorders>
                  <w:noWrap w:val="0"/>
                  <w:vAlign w:val="center"/>
                </w:tcPr>
                <w:p w14:paraId="41ED0EC1">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200</w:t>
                  </w:r>
                </w:p>
              </w:tc>
            </w:tr>
            <w:tr w14:paraId="5A0B7A8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restart"/>
                  <w:tcBorders>
                    <w:tl2br w:val="nil"/>
                    <w:tr2bl w:val="nil"/>
                  </w:tcBorders>
                  <w:noWrap w:val="0"/>
                  <w:vAlign w:val="center"/>
                </w:tcPr>
                <w:p w14:paraId="518FB168">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3127" w:type="dxa"/>
                  <w:vMerge w:val="restart"/>
                  <w:tcBorders>
                    <w:tl2br w:val="nil"/>
                    <w:tr2bl w:val="nil"/>
                  </w:tcBorders>
                  <w:noWrap w:val="0"/>
                  <w:vAlign w:val="center"/>
                </w:tcPr>
                <w:p w14:paraId="329172B0">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粒径小于等于10μm的颗粒物（PM</w:t>
                  </w:r>
                  <w:r>
                    <w:rPr>
                      <w:rFonts w:hint="default" w:ascii="Times New Roman" w:hAnsi="Times New Roman" w:eastAsia="宋体" w:cs="Times New Roman"/>
                      <w:color w:val="000000"/>
                      <w:sz w:val="21"/>
                      <w:szCs w:val="21"/>
                      <w:vertAlign w:val="subscript"/>
                    </w:rPr>
                    <w:t>10</w:t>
                  </w:r>
                  <w:r>
                    <w:rPr>
                      <w:rFonts w:hint="default" w:ascii="Times New Roman" w:hAnsi="Times New Roman" w:eastAsia="宋体" w:cs="Times New Roman"/>
                      <w:color w:val="000000"/>
                      <w:sz w:val="21"/>
                      <w:szCs w:val="21"/>
                    </w:rPr>
                    <w:t>）</w:t>
                  </w:r>
                </w:p>
              </w:tc>
              <w:tc>
                <w:tcPr>
                  <w:tcW w:w="2152" w:type="dxa"/>
                  <w:tcBorders>
                    <w:tl2br w:val="nil"/>
                    <w:tr2bl w:val="nil"/>
                  </w:tcBorders>
                  <w:noWrap w:val="0"/>
                  <w:vAlign w:val="center"/>
                </w:tcPr>
                <w:p w14:paraId="6744AD25">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年平均</w:t>
                  </w:r>
                </w:p>
              </w:tc>
              <w:tc>
                <w:tcPr>
                  <w:tcW w:w="1857" w:type="dxa"/>
                  <w:tcBorders>
                    <w:tl2br w:val="nil"/>
                    <w:tr2bl w:val="nil"/>
                  </w:tcBorders>
                  <w:noWrap w:val="0"/>
                  <w:vAlign w:val="center"/>
                </w:tcPr>
                <w:p w14:paraId="4F928D57">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70</w:t>
                  </w:r>
                </w:p>
              </w:tc>
            </w:tr>
            <w:tr w14:paraId="7EB2261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continue"/>
                  <w:tcBorders>
                    <w:tl2br w:val="nil"/>
                    <w:tr2bl w:val="nil"/>
                  </w:tcBorders>
                  <w:noWrap w:val="0"/>
                  <w:vAlign w:val="center"/>
                </w:tcPr>
                <w:p w14:paraId="227A00D5">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3127" w:type="dxa"/>
                  <w:vMerge w:val="continue"/>
                  <w:tcBorders>
                    <w:tl2br w:val="nil"/>
                    <w:tr2bl w:val="nil"/>
                  </w:tcBorders>
                  <w:noWrap w:val="0"/>
                  <w:vAlign w:val="center"/>
                </w:tcPr>
                <w:p w14:paraId="5A7DDC7A">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2152" w:type="dxa"/>
                  <w:tcBorders>
                    <w:tl2br w:val="nil"/>
                    <w:tr2bl w:val="nil"/>
                  </w:tcBorders>
                  <w:noWrap w:val="0"/>
                  <w:vAlign w:val="center"/>
                </w:tcPr>
                <w:p w14:paraId="21412AE6">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24小时平均</w:t>
                  </w:r>
                </w:p>
              </w:tc>
              <w:tc>
                <w:tcPr>
                  <w:tcW w:w="1857" w:type="dxa"/>
                  <w:tcBorders>
                    <w:tl2br w:val="nil"/>
                    <w:tr2bl w:val="nil"/>
                  </w:tcBorders>
                  <w:noWrap w:val="0"/>
                  <w:vAlign w:val="center"/>
                </w:tcPr>
                <w:p w14:paraId="231F3F16">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150</w:t>
                  </w:r>
                </w:p>
              </w:tc>
            </w:tr>
            <w:tr w14:paraId="492EF7A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restart"/>
                  <w:tcBorders>
                    <w:tl2br w:val="nil"/>
                    <w:tr2bl w:val="nil"/>
                  </w:tcBorders>
                  <w:noWrap w:val="0"/>
                  <w:vAlign w:val="center"/>
                </w:tcPr>
                <w:p w14:paraId="2BF15305">
                  <w:pPr>
                    <w:keepNext w:val="0"/>
                    <w:keepLines w:val="0"/>
                    <w:widowControl/>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3127" w:type="dxa"/>
                  <w:vMerge w:val="restart"/>
                  <w:tcBorders>
                    <w:tl2br w:val="nil"/>
                    <w:tr2bl w:val="nil"/>
                  </w:tcBorders>
                  <w:noWrap w:val="0"/>
                  <w:vAlign w:val="center"/>
                </w:tcPr>
                <w:p w14:paraId="10336054">
                  <w:pPr>
                    <w:keepNext w:val="0"/>
                    <w:keepLines w:val="0"/>
                    <w:widowControl/>
                    <w:suppressLineNumbers w:val="0"/>
                    <w:kinsoku/>
                    <w:bidi w:val="0"/>
                    <w:spacing w:before="0" w:beforeAutospacing="0" w:after="0" w:afterAutospacing="0" w:line="240" w:lineRule="auto"/>
                    <w:ind w:left="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粒径小于等于2.5μm的颗粒物（PM</w:t>
                  </w:r>
                  <w:r>
                    <w:rPr>
                      <w:rFonts w:hint="default" w:ascii="Times New Roman" w:hAnsi="Times New Roman" w:eastAsia="宋体" w:cs="Times New Roman"/>
                      <w:color w:val="000000"/>
                      <w:sz w:val="21"/>
                      <w:szCs w:val="21"/>
                      <w:vertAlign w:val="subscript"/>
                    </w:rPr>
                    <w:t>2.5</w:t>
                  </w:r>
                  <w:r>
                    <w:rPr>
                      <w:rFonts w:hint="default" w:ascii="Times New Roman" w:hAnsi="Times New Roman" w:eastAsia="宋体" w:cs="Times New Roman"/>
                      <w:color w:val="000000"/>
                      <w:sz w:val="21"/>
                      <w:szCs w:val="21"/>
                    </w:rPr>
                    <w:t>）</w:t>
                  </w:r>
                </w:p>
              </w:tc>
              <w:tc>
                <w:tcPr>
                  <w:tcW w:w="2152" w:type="dxa"/>
                  <w:tcBorders>
                    <w:tl2br w:val="nil"/>
                    <w:tr2bl w:val="nil"/>
                  </w:tcBorders>
                  <w:noWrap w:val="0"/>
                  <w:vAlign w:val="center"/>
                </w:tcPr>
                <w:p w14:paraId="209B901F">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年平均</w:t>
                  </w:r>
                </w:p>
              </w:tc>
              <w:tc>
                <w:tcPr>
                  <w:tcW w:w="1857" w:type="dxa"/>
                  <w:tcBorders>
                    <w:tl2br w:val="nil"/>
                    <w:tr2bl w:val="nil"/>
                  </w:tcBorders>
                  <w:noWrap w:val="0"/>
                  <w:vAlign w:val="center"/>
                </w:tcPr>
                <w:p w14:paraId="23B485C0">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35</w:t>
                  </w:r>
                </w:p>
              </w:tc>
            </w:tr>
            <w:tr w14:paraId="114A9B9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16" w:type="dxa"/>
                  <w:vMerge w:val="continue"/>
                  <w:tcBorders>
                    <w:tl2br w:val="nil"/>
                    <w:tr2bl w:val="nil"/>
                  </w:tcBorders>
                  <w:noWrap w:val="0"/>
                  <w:vAlign w:val="center"/>
                </w:tcPr>
                <w:p w14:paraId="2002BB78">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3127" w:type="dxa"/>
                  <w:vMerge w:val="continue"/>
                  <w:tcBorders>
                    <w:tl2br w:val="nil"/>
                    <w:tr2bl w:val="nil"/>
                  </w:tcBorders>
                  <w:noWrap w:val="0"/>
                  <w:vAlign w:val="center"/>
                </w:tcPr>
                <w:p w14:paraId="7B7A3E31">
                  <w:pPr>
                    <w:keepNext w:val="0"/>
                    <w:keepLines w:val="0"/>
                    <w:widowControl/>
                    <w:suppressLineNumbers w:val="0"/>
                    <w:kinsoku/>
                    <w:bidi w:val="0"/>
                    <w:spacing w:before="0" w:beforeAutospacing="0" w:after="0" w:afterAutospacing="0" w:line="240" w:lineRule="auto"/>
                    <w:ind w:left="0" w:leftChars="0" w:right="0" w:rightChars="0" w:firstLine="420"/>
                    <w:jc w:val="center"/>
                    <w:rPr>
                      <w:rFonts w:hint="default" w:ascii="Times New Roman" w:hAnsi="Times New Roman" w:eastAsia="宋体" w:cs="Times New Roman"/>
                      <w:color w:val="000000"/>
                      <w:sz w:val="21"/>
                      <w:szCs w:val="21"/>
                    </w:rPr>
                  </w:pPr>
                </w:p>
              </w:tc>
              <w:tc>
                <w:tcPr>
                  <w:tcW w:w="2152" w:type="dxa"/>
                  <w:tcBorders>
                    <w:tl2br w:val="nil"/>
                    <w:tr2bl w:val="nil"/>
                  </w:tcBorders>
                  <w:noWrap w:val="0"/>
                  <w:vAlign w:val="center"/>
                </w:tcPr>
                <w:p w14:paraId="0DADA085">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24小时平均</w:t>
                  </w:r>
                </w:p>
              </w:tc>
              <w:tc>
                <w:tcPr>
                  <w:tcW w:w="1857" w:type="dxa"/>
                  <w:tcBorders>
                    <w:tl2br w:val="nil"/>
                    <w:tr2bl w:val="nil"/>
                  </w:tcBorders>
                  <w:noWrap w:val="0"/>
                  <w:vAlign w:val="center"/>
                </w:tcPr>
                <w:p w14:paraId="24802B89">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75</w:t>
                  </w:r>
                </w:p>
              </w:tc>
            </w:tr>
          </w:tbl>
          <w:p w14:paraId="1C2939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20" w:firstLineChars="200"/>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eastAsia="zh-CN"/>
              </w:rPr>
              <w:t>②</w:t>
            </w:r>
            <w:r>
              <w:rPr>
                <w:rFonts w:hint="default" w:ascii="Times New Roman" w:hAnsi="Times New Roman" w:cs="Times New Roman"/>
                <w:color w:val="000000"/>
                <w:sz w:val="21"/>
                <w:szCs w:val="21"/>
              </w:rPr>
              <w:t>特征因子</w:t>
            </w:r>
          </w:p>
          <w:p w14:paraId="46B50CD0">
            <w:pPr>
              <w:keepNext w:val="0"/>
              <w:keepLines w:val="0"/>
              <w:suppressLineNumbers w:val="0"/>
              <w:spacing w:before="0" w:beforeAutospacing="0" w:after="0" w:afterAutospacing="0" w:line="360" w:lineRule="auto"/>
              <w:ind w:left="0" w:right="0" w:firstLine="420" w:firstLineChars="200"/>
              <w:rPr>
                <w:rFonts w:hint="default"/>
                <w:color w:val="auto"/>
                <w:lang w:eastAsia="zh-CN"/>
              </w:rPr>
            </w:pPr>
            <w:r>
              <w:rPr>
                <w:rFonts w:hint="default" w:ascii="Times New Roman" w:hAnsi="Times New Roman" w:cs="Times New Roman"/>
                <w:color w:val="auto"/>
                <w:sz w:val="21"/>
                <w:szCs w:val="21"/>
              </w:rPr>
              <w:t>项目特征污染物为</w:t>
            </w:r>
            <w:r>
              <w:rPr>
                <w:rFonts w:hint="eastAsia" w:cs="Times New Roman"/>
                <w:color w:val="auto"/>
                <w:sz w:val="21"/>
                <w:szCs w:val="21"/>
                <w:lang w:val="en-US" w:eastAsia="zh-CN"/>
              </w:rPr>
              <w:t>颗粒物</w:t>
            </w:r>
            <w:r>
              <w:rPr>
                <w:rFonts w:hint="default" w:ascii="Times New Roman" w:hAnsi="Times New Roman" w:cs="Times New Roman"/>
                <w:color w:val="auto"/>
                <w:sz w:val="21"/>
                <w:szCs w:val="21"/>
              </w:rPr>
              <w:t>。</w:t>
            </w:r>
            <w:r>
              <w:rPr>
                <w:rFonts w:hint="eastAsia"/>
                <w:color w:val="auto"/>
                <w:lang w:val="en-US" w:eastAsia="zh-CN"/>
              </w:rPr>
              <w:t>颗粒物执行</w:t>
            </w:r>
            <w:r>
              <w:rPr>
                <w:rFonts w:hint="default" w:ascii="Times New Roman" w:hAnsi="Times New Roman" w:cs="Times New Roman"/>
                <w:color w:val="auto"/>
                <w:sz w:val="21"/>
                <w:szCs w:val="21"/>
              </w:rPr>
              <w:t>《环境空气质量标准》（GB3095-2012）二级标准</w:t>
            </w:r>
            <w:r>
              <w:rPr>
                <w:rFonts w:hint="eastAsia" w:ascii="Times New Roman" w:hAnsi="Times New Roman" w:cs="Times New Roman"/>
                <w:color w:val="auto"/>
                <w:sz w:val="21"/>
                <w:szCs w:val="21"/>
                <w:lang w:eastAsia="zh-CN"/>
              </w:rPr>
              <w:t>。</w:t>
            </w:r>
            <w:r>
              <w:rPr>
                <w:rFonts w:hint="default"/>
                <w:color w:val="auto"/>
              </w:rPr>
              <w:t>详见</w:t>
            </w:r>
            <w:r>
              <w:rPr>
                <w:rFonts w:hint="default"/>
                <w:b/>
                <w:bCs/>
                <w:color w:val="auto"/>
              </w:rPr>
              <w:t>表</w:t>
            </w:r>
            <w:r>
              <w:rPr>
                <w:rFonts w:hint="eastAsia"/>
                <w:b/>
                <w:bCs/>
                <w:color w:val="auto"/>
                <w:lang w:val="en-US" w:eastAsia="zh-CN"/>
              </w:rPr>
              <w:t>3</w:t>
            </w:r>
            <w:r>
              <w:rPr>
                <w:rFonts w:hint="default"/>
                <w:b/>
                <w:bCs/>
                <w:color w:val="auto"/>
              </w:rPr>
              <w:t>-</w:t>
            </w:r>
            <w:r>
              <w:rPr>
                <w:rFonts w:hint="eastAsia"/>
                <w:b/>
                <w:bCs/>
                <w:color w:val="auto"/>
                <w:lang w:val="en-US" w:eastAsia="zh-CN"/>
              </w:rPr>
              <w:t>3</w:t>
            </w:r>
            <w:r>
              <w:rPr>
                <w:rFonts w:hint="default"/>
                <w:color w:val="auto"/>
                <w:lang w:eastAsia="zh-CN"/>
              </w:rPr>
              <w:t>。</w:t>
            </w:r>
          </w:p>
          <w:p w14:paraId="507DE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lang w:eastAsia="zh-CN"/>
              </w:rPr>
            </w:pPr>
            <w:r>
              <w:rPr>
                <w:rFonts w:hint="default" w:ascii="Times New Roman" w:hAnsi="Times New Roman" w:cs="Times New Roman"/>
                <w:b/>
                <w:color w:val="000000"/>
                <w:sz w:val="21"/>
                <w:szCs w:val="21"/>
              </w:rPr>
              <w:t>表</w:t>
            </w:r>
            <w:r>
              <w:rPr>
                <w:rFonts w:hint="eastAsia" w:cs="Times New Roman"/>
                <w:b/>
                <w:color w:val="000000"/>
                <w:sz w:val="21"/>
                <w:szCs w:val="21"/>
                <w:lang w:val="en-US" w:eastAsia="zh-CN"/>
              </w:rPr>
              <w:t>3</w:t>
            </w:r>
            <w:r>
              <w:rPr>
                <w:rFonts w:hint="default" w:ascii="Times New Roman" w:hAnsi="Times New Roman" w:cs="Times New Roman"/>
                <w:b/>
                <w:color w:val="000000"/>
                <w:sz w:val="21"/>
                <w:szCs w:val="21"/>
              </w:rPr>
              <w:t>-</w:t>
            </w:r>
            <w:r>
              <w:rPr>
                <w:rFonts w:hint="eastAsia" w:cs="Times New Roman"/>
                <w:b/>
                <w:color w:val="000000"/>
                <w:sz w:val="21"/>
                <w:szCs w:val="21"/>
                <w:lang w:val="en-US" w:eastAsia="zh-CN"/>
              </w:rPr>
              <w:t xml:space="preserve">3 </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eastAsia="zh-CN"/>
              </w:rPr>
              <w:t>环境空气</w:t>
            </w:r>
            <w:r>
              <w:rPr>
                <w:rFonts w:hint="default" w:ascii="宋体" w:hAnsi="宋体" w:eastAsia="宋体" w:cs="宋体"/>
                <w:b/>
                <w:bCs/>
                <w:color w:val="000000"/>
                <w:highlight w:val="none"/>
                <w:lang w:val="en-US" w:eastAsia="zh-CN"/>
              </w:rPr>
              <w:t>执行</w:t>
            </w:r>
            <w:r>
              <w:rPr>
                <w:rFonts w:hint="default" w:ascii="Times New Roman" w:hAnsi="Times New Roman" w:cs="Times New Roman"/>
                <w:b/>
                <w:color w:val="000000"/>
                <w:sz w:val="21"/>
                <w:szCs w:val="21"/>
                <w:lang w:eastAsia="zh-CN"/>
              </w:rPr>
              <w:t>标准</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336"/>
              <w:gridCol w:w="1323"/>
              <w:gridCol w:w="1387"/>
              <w:gridCol w:w="3210"/>
            </w:tblGrid>
            <w:tr w14:paraId="56F930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cantSplit/>
                <w:trHeight w:val="340" w:hRule="atLeast"/>
                <w:jc w:val="center"/>
              </w:trPr>
              <w:tc>
                <w:tcPr>
                  <w:tcW w:w="596" w:type="dxa"/>
                  <w:tcBorders>
                    <w:tl2br w:val="nil"/>
                    <w:tr2bl w:val="nil"/>
                  </w:tcBorders>
                  <w:noWrap w:val="0"/>
                  <w:vAlign w:val="center"/>
                </w:tcPr>
                <w:p w14:paraId="4F98C5F4">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序号</w:t>
                  </w:r>
                </w:p>
              </w:tc>
              <w:tc>
                <w:tcPr>
                  <w:tcW w:w="1336" w:type="dxa"/>
                  <w:tcBorders>
                    <w:tl2br w:val="nil"/>
                    <w:tr2bl w:val="nil"/>
                  </w:tcBorders>
                  <w:noWrap w:val="0"/>
                  <w:vAlign w:val="center"/>
                </w:tcPr>
                <w:p w14:paraId="2915A262">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污染物名称</w:t>
                  </w:r>
                </w:p>
              </w:tc>
              <w:tc>
                <w:tcPr>
                  <w:tcW w:w="1323" w:type="dxa"/>
                  <w:tcBorders>
                    <w:tl2br w:val="nil"/>
                    <w:tr2bl w:val="nil"/>
                  </w:tcBorders>
                  <w:noWrap w:val="0"/>
                  <w:vAlign w:val="center"/>
                </w:tcPr>
                <w:p w14:paraId="635D6F61">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取值时间</w:t>
                  </w:r>
                </w:p>
              </w:tc>
              <w:tc>
                <w:tcPr>
                  <w:tcW w:w="1387" w:type="dxa"/>
                  <w:tcBorders>
                    <w:tl2br w:val="nil"/>
                    <w:tr2bl w:val="nil"/>
                  </w:tcBorders>
                  <w:noWrap w:val="0"/>
                  <w:vAlign w:val="center"/>
                </w:tcPr>
                <w:p w14:paraId="2DDC254A">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标准浓度限值(mg/m</w:t>
                  </w:r>
                  <w:r>
                    <w:rPr>
                      <w:rFonts w:hint="default" w:ascii="Times New Roman" w:hAnsi="Times New Roman" w:cs="Times New Roman"/>
                      <w:b/>
                      <w:bCs/>
                      <w:color w:val="000000"/>
                      <w:sz w:val="21"/>
                      <w:szCs w:val="21"/>
                      <w:vertAlign w:val="superscript"/>
                    </w:rPr>
                    <w:t>3</w:t>
                  </w:r>
                  <w:r>
                    <w:rPr>
                      <w:rFonts w:hint="default" w:ascii="Times New Roman" w:hAnsi="Times New Roman" w:cs="Times New Roman"/>
                      <w:b/>
                      <w:bCs/>
                      <w:color w:val="000000"/>
                      <w:sz w:val="21"/>
                      <w:szCs w:val="21"/>
                    </w:rPr>
                    <w:t>)</w:t>
                  </w:r>
                </w:p>
              </w:tc>
              <w:tc>
                <w:tcPr>
                  <w:tcW w:w="3210" w:type="dxa"/>
                  <w:tcBorders>
                    <w:tl2br w:val="nil"/>
                    <w:tr2bl w:val="nil"/>
                  </w:tcBorders>
                  <w:noWrap w:val="0"/>
                  <w:vAlign w:val="center"/>
                </w:tcPr>
                <w:p w14:paraId="2B16BA3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标准来源</w:t>
                  </w:r>
                </w:p>
              </w:tc>
            </w:tr>
            <w:tr w14:paraId="00E536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596" w:type="dxa"/>
                  <w:vMerge w:val="restart"/>
                  <w:tcBorders>
                    <w:tl2br w:val="nil"/>
                    <w:tr2bl w:val="nil"/>
                  </w:tcBorders>
                  <w:noWrap w:val="0"/>
                  <w:vAlign w:val="center"/>
                </w:tcPr>
                <w:p w14:paraId="52F969DF">
                  <w:pPr>
                    <w:keepNext w:val="0"/>
                    <w:keepLines w:val="0"/>
                    <w:suppressLineNumbers w:val="0"/>
                    <w:spacing w:before="0" w:beforeAutospacing="0" w:after="0" w:afterAutospacing="0" w:line="240" w:lineRule="auto"/>
                    <w:ind w:left="0" w:right="0"/>
                    <w:jc w:val="center"/>
                    <w:rPr>
                      <w:rFonts w:hint="default" w:cs="Times New Roman"/>
                      <w:color w:val="000000"/>
                      <w:sz w:val="21"/>
                      <w:szCs w:val="21"/>
                      <w:lang w:val="en-US" w:eastAsia="zh-CN"/>
                    </w:rPr>
                  </w:pPr>
                  <w:r>
                    <w:rPr>
                      <w:rFonts w:hint="eastAsia" w:cs="Times New Roman"/>
                      <w:color w:val="000000"/>
                      <w:sz w:val="21"/>
                      <w:szCs w:val="21"/>
                      <w:lang w:val="en-US" w:eastAsia="zh-CN"/>
                    </w:rPr>
                    <w:t>1</w:t>
                  </w:r>
                </w:p>
              </w:tc>
              <w:tc>
                <w:tcPr>
                  <w:tcW w:w="1336" w:type="dxa"/>
                  <w:vMerge w:val="restart"/>
                  <w:tcBorders>
                    <w:tl2br w:val="nil"/>
                    <w:tr2bl w:val="nil"/>
                  </w:tcBorders>
                  <w:noWrap w:val="0"/>
                  <w:vAlign w:val="center"/>
                </w:tcPr>
                <w:p w14:paraId="6C73291C">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总悬浮颗粒（TSP）</w:t>
                  </w:r>
                </w:p>
              </w:tc>
              <w:tc>
                <w:tcPr>
                  <w:tcW w:w="1323" w:type="dxa"/>
                  <w:tcBorders>
                    <w:tl2br w:val="nil"/>
                    <w:tr2bl w:val="nil"/>
                  </w:tcBorders>
                  <w:noWrap w:val="0"/>
                  <w:vAlign w:val="center"/>
                </w:tcPr>
                <w:p w14:paraId="08D1571B">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年平均</w:t>
                  </w:r>
                </w:p>
              </w:tc>
              <w:tc>
                <w:tcPr>
                  <w:tcW w:w="1387" w:type="dxa"/>
                  <w:tcBorders>
                    <w:tl2br w:val="nil"/>
                    <w:tr2bl w:val="nil"/>
                  </w:tcBorders>
                  <w:noWrap w:val="0"/>
                  <w:vAlign w:val="center"/>
                </w:tcPr>
                <w:p w14:paraId="39737573">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0.2</w:t>
                  </w:r>
                </w:p>
              </w:tc>
              <w:tc>
                <w:tcPr>
                  <w:tcW w:w="3210" w:type="dxa"/>
                  <w:vMerge w:val="restart"/>
                  <w:tcBorders>
                    <w:tl2br w:val="nil"/>
                    <w:tr2bl w:val="nil"/>
                  </w:tcBorders>
                  <w:noWrap w:val="0"/>
                  <w:vAlign w:val="center"/>
                </w:tcPr>
                <w:p w14:paraId="626E65C6">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lang w:eastAsia="zh-CN" w:bidi="ar"/>
                    </w:rPr>
                  </w:pPr>
                  <w:r>
                    <w:rPr>
                      <w:rFonts w:hint="default" w:ascii="Times New Roman" w:hAnsi="Times New Roman" w:cs="Times New Roman"/>
                      <w:color w:val="000000"/>
                      <w:sz w:val="21"/>
                      <w:szCs w:val="21"/>
                    </w:rPr>
                    <w:t>《环境空气质量标准》（GB3095-2012）二级标准</w:t>
                  </w:r>
                </w:p>
              </w:tc>
            </w:tr>
            <w:tr w14:paraId="713385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0" w:hRule="atLeast"/>
                <w:jc w:val="center"/>
              </w:trPr>
              <w:tc>
                <w:tcPr>
                  <w:tcW w:w="596" w:type="dxa"/>
                  <w:vMerge w:val="continue"/>
                  <w:noWrap w:val="0"/>
                  <w:vAlign w:val="top"/>
                </w:tcPr>
                <w:p w14:paraId="4A499781">
                  <w:pPr>
                    <w:keepNext w:val="0"/>
                    <w:keepLines w:val="0"/>
                    <w:suppressLineNumbers w:val="0"/>
                    <w:spacing w:before="0" w:beforeAutospacing="0" w:after="0" w:afterAutospacing="0" w:line="240" w:lineRule="auto"/>
                    <w:ind w:left="0" w:right="0"/>
                    <w:jc w:val="center"/>
                    <w:rPr>
                      <w:rFonts w:hint="eastAsia" w:cs="Times New Roman"/>
                      <w:color w:val="000000"/>
                      <w:sz w:val="21"/>
                      <w:szCs w:val="21"/>
                      <w:lang w:val="en-US" w:eastAsia="zh-CN"/>
                    </w:rPr>
                  </w:pPr>
                </w:p>
              </w:tc>
              <w:tc>
                <w:tcPr>
                  <w:tcW w:w="1336" w:type="dxa"/>
                  <w:vMerge w:val="continue"/>
                  <w:noWrap w:val="0"/>
                  <w:vAlign w:val="top"/>
                </w:tcPr>
                <w:p w14:paraId="3535DC8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lang w:eastAsia="zh-CN" w:bidi="ar"/>
                    </w:rPr>
                  </w:pPr>
                </w:p>
              </w:tc>
              <w:tc>
                <w:tcPr>
                  <w:tcW w:w="0" w:type="auto"/>
                  <w:noWrap w:val="0"/>
                  <w:vAlign w:val="center"/>
                </w:tcPr>
                <w:p w14:paraId="37F8F5A3">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24小时平均</w:t>
                  </w:r>
                </w:p>
              </w:tc>
              <w:tc>
                <w:tcPr>
                  <w:tcW w:w="0" w:type="auto"/>
                  <w:noWrap w:val="0"/>
                  <w:vAlign w:val="center"/>
                </w:tcPr>
                <w:p w14:paraId="1F0F37EA">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0.3</w:t>
                  </w:r>
                </w:p>
              </w:tc>
              <w:tc>
                <w:tcPr>
                  <w:tcW w:w="3210" w:type="dxa"/>
                  <w:vMerge w:val="continue"/>
                  <w:noWrap w:val="0"/>
                  <w:vAlign w:val="top"/>
                </w:tcPr>
                <w:p w14:paraId="300652C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sz w:val="21"/>
                      <w:szCs w:val="21"/>
                      <w:lang w:eastAsia="zh-CN" w:bidi="ar"/>
                    </w:rPr>
                  </w:pPr>
                </w:p>
              </w:tc>
            </w:tr>
          </w:tbl>
          <w:p w14:paraId="7D1453B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firstLine="420" w:firstLineChars="200"/>
              <w:textAlignment w:val="auto"/>
              <w:outlineLvl w:val="9"/>
              <w:rPr>
                <w:rFonts w:hint="default" w:ascii="Times New Roman" w:hAnsi="Times New Roman" w:eastAsia="宋体" w:cs="宋体"/>
                <w:b w:val="0"/>
                <w:bCs w:val="0"/>
                <w:color w:val="000000"/>
                <w:sz w:val="21"/>
                <w:szCs w:val="21"/>
                <w:highlight w:val="none"/>
                <w:lang w:val="en-US" w:eastAsia="zh-CN"/>
              </w:rPr>
            </w:pPr>
            <w:r>
              <w:rPr>
                <w:rFonts w:hint="eastAsia" w:ascii="Times New Roman" w:hAnsi="Times New Roman" w:eastAsia="宋体" w:cs="宋体"/>
                <w:b w:val="0"/>
                <w:bCs w:val="0"/>
                <w:color w:val="000000"/>
                <w:sz w:val="21"/>
                <w:szCs w:val="21"/>
                <w:highlight w:val="none"/>
                <w:lang w:val="en-US" w:eastAsia="zh-CN"/>
              </w:rPr>
              <w:t>2）环境空气质量现状</w:t>
            </w:r>
          </w:p>
          <w:p w14:paraId="183B7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b w:val="0"/>
                <w:bCs w:val="0"/>
                <w:color w:val="000000"/>
                <w:sz w:val="21"/>
                <w:szCs w:val="24"/>
                <w:lang w:val="en-US" w:eastAsia="zh-CN"/>
              </w:rPr>
              <w:t>根据泉州市生态环境局网站上发布的《202</w:t>
            </w:r>
            <w:r>
              <w:rPr>
                <w:rFonts w:hint="eastAsia" w:ascii="Times New Roman" w:hAnsi="Times New Roman" w:eastAsia="宋体" w:cs="Times New Roman"/>
                <w:b w:val="0"/>
                <w:bCs w:val="0"/>
                <w:color w:val="000000"/>
                <w:sz w:val="21"/>
                <w:szCs w:val="24"/>
                <w:lang w:val="en-US" w:eastAsia="zh-CN"/>
              </w:rPr>
              <w:t>3</w:t>
            </w:r>
            <w:r>
              <w:rPr>
                <w:rFonts w:hint="default" w:ascii="Times New Roman" w:hAnsi="Times New Roman" w:eastAsia="宋体" w:cs="Times New Roman"/>
                <w:b w:val="0"/>
                <w:bCs w:val="0"/>
                <w:color w:val="000000"/>
                <w:sz w:val="21"/>
                <w:szCs w:val="24"/>
                <w:lang w:val="en-US" w:eastAsia="zh-CN"/>
              </w:rPr>
              <w:t>年泉州市城市空气质量通报》，202</w:t>
            </w:r>
            <w:r>
              <w:rPr>
                <w:rFonts w:hint="eastAsia" w:ascii="Times New Roman" w:hAnsi="Times New Roman" w:eastAsia="宋体" w:cs="Times New Roman"/>
                <w:b w:val="0"/>
                <w:bCs w:val="0"/>
                <w:color w:val="000000"/>
                <w:sz w:val="21"/>
                <w:szCs w:val="24"/>
                <w:lang w:val="en-US" w:eastAsia="zh-CN"/>
              </w:rPr>
              <w:t>3</w:t>
            </w:r>
            <w:r>
              <w:rPr>
                <w:rFonts w:hint="default" w:ascii="Times New Roman" w:hAnsi="Times New Roman" w:eastAsia="宋体" w:cs="Times New Roman"/>
                <w:b w:val="0"/>
                <w:bCs w:val="0"/>
                <w:color w:val="000000"/>
                <w:sz w:val="21"/>
                <w:szCs w:val="24"/>
                <w:lang w:val="en-US" w:eastAsia="zh-CN"/>
              </w:rPr>
              <w:t>年洛江区PM</w:t>
            </w:r>
            <w:r>
              <w:rPr>
                <w:rFonts w:hint="default" w:ascii="Times New Roman" w:hAnsi="Times New Roman" w:eastAsia="宋体" w:cs="Times New Roman"/>
                <w:b w:val="0"/>
                <w:bCs w:val="0"/>
                <w:color w:val="000000"/>
                <w:sz w:val="21"/>
                <w:szCs w:val="24"/>
                <w:vertAlign w:val="subscript"/>
                <w:lang w:val="en-US" w:eastAsia="zh-CN"/>
              </w:rPr>
              <w:t>10</w:t>
            </w:r>
            <w:r>
              <w:rPr>
                <w:rFonts w:hint="default" w:ascii="Times New Roman" w:hAnsi="Times New Roman" w:eastAsia="宋体" w:cs="Times New Roman"/>
                <w:b w:val="0"/>
                <w:bCs w:val="0"/>
                <w:color w:val="000000"/>
                <w:sz w:val="21"/>
                <w:szCs w:val="24"/>
                <w:lang w:val="en-US" w:eastAsia="zh-CN"/>
              </w:rPr>
              <w:t>浓度为</w:t>
            </w:r>
            <w:r>
              <w:rPr>
                <w:rFonts w:hint="eastAsia" w:ascii="Times New Roman" w:hAnsi="Times New Roman" w:eastAsia="宋体" w:cs="Times New Roman"/>
                <w:b w:val="0"/>
                <w:bCs w:val="0"/>
                <w:color w:val="000000"/>
                <w:sz w:val="21"/>
                <w:szCs w:val="24"/>
                <w:lang w:val="en-US" w:eastAsia="zh-CN"/>
              </w:rPr>
              <w:t>0.039</w:t>
            </w:r>
            <w:r>
              <w:rPr>
                <w:rFonts w:hint="default" w:ascii="Times New Roman" w:hAnsi="Times New Roman" w:eastAsia="宋体" w:cs="Times New Roman"/>
                <w:b w:val="0"/>
                <w:bCs w:val="0"/>
                <w:color w:val="000000"/>
                <w:sz w:val="21"/>
                <w:szCs w:val="24"/>
                <w:lang w:val="en-US" w:eastAsia="zh-CN"/>
              </w:rPr>
              <w:t>mg/m</w:t>
            </w:r>
            <w:r>
              <w:rPr>
                <w:rFonts w:hint="default" w:ascii="Times New Roman" w:hAnsi="Times New Roman" w:eastAsia="宋体" w:cs="Times New Roman"/>
                <w:b w:val="0"/>
                <w:bCs w:val="0"/>
                <w:color w:val="000000"/>
                <w:sz w:val="21"/>
                <w:szCs w:val="24"/>
                <w:vertAlign w:val="superscript"/>
                <w:lang w:val="en-US" w:eastAsia="zh-CN"/>
              </w:rPr>
              <w:t>3</w:t>
            </w:r>
            <w:r>
              <w:rPr>
                <w:rFonts w:hint="default" w:ascii="Times New Roman" w:hAnsi="Times New Roman" w:eastAsia="宋体" w:cs="Times New Roman"/>
                <w:b w:val="0"/>
                <w:bCs w:val="0"/>
                <w:color w:val="000000"/>
                <w:sz w:val="21"/>
                <w:szCs w:val="24"/>
                <w:lang w:val="en-US" w:eastAsia="zh-CN"/>
              </w:rPr>
              <w:t>、PM</w:t>
            </w:r>
            <w:r>
              <w:rPr>
                <w:rFonts w:hint="default" w:ascii="Times New Roman" w:hAnsi="Times New Roman" w:eastAsia="宋体" w:cs="Times New Roman"/>
                <w:b w:val="0"/>
                <w:bCs w:val="0"/>
                <w:color w:val="000000"/>
                <w:sz w:val="21"/>
                <w:szCs w:val="24"/>
                <w:vertAlign w:val="subscript"/>
                <w:lang w:val="en-US" w:eastAsia="zh-CN"/>
              </w:rPr>
              <w:t>2.5</w:t>
            </w:r>
            <w:r>
              <w:rPr>
                <w:rFonts w:hint="default" w:ascii="Times New Roman" w:hAnsi="Times New Roman" w:eastAsia="宋体" w:cs="Times New Roman"/>
                <w:b w:val="0"/>
                <w:bCs w:val="0"/>
                <w:color w:val="000000"/>
                <w:sz w:val="21"/>
                <w:szCs w:val="24"/>
                <w:lang w:val="en-US" w:eastAsia="zh-CN"/>
              </w:rPr>
              <w:t>浓度为</w:t>
            </w:r>
            <w:r>
              <w:rPr>
                <w:rFonts w:hint="eastAsia" w:ascii="Times New Roman" w:hAnsi="Times New Roman" w:eastAsia="宋体" w:cs="Times New Roman"/>
                <w:b w:val="0"/>
                <w:bCs w:val="0"/>
                <w:color w:val="000000"/>
                <w:sz w:val="21"/>
                <w:szCs w:val="24"/>
                <w:lang w:val="en-US" w:eastAsia="zh-CN"/>
              </w:rPr>
              <w:t>0.023</w:t>
            </w:r>
            <w:r>
              <w:rPr>
                <w:rFonts w:hint="default" w:ascii="Times New Roman" w:hAnsi="Times New Roman" w:eastAsia="宋体" w:cs="Times New Roman"/>
                <w:b w:val="0"/>
                <w:bCs w:val="0"/>
                <w:color w:val="000000"/>
                <w:sz w:val="21"/>
                <w:szCs w:val="24"/>
                <w:lang w:val="en-US" w:eastAsia="zh-CN"/>
              </w:rPr>
              <w:t>mg/m</w:t>
            </w:r>
            <w:r>
              <w:rPr>
                <w:rFonts w:hint="default" w:ascii="Times New Roman" w:hAnsi="Times New Roman" w:eastAsia="宋体" w:cs="Times New Roman"/>
                <w:b w:val="0"/>
                <w:bCs w:val="0"/>
                <w:color w:val="000000"/>
                <w:sz w:val="21"/>
                <w:szCs w:val="24"/>
                <w:vertAlign w:val="superscript"/>
                <w:lang w:val="en-US" w:eastAsia="zh-CN"/>
              </w:rPr>
              <w:t>3</w:t>
            </w:r>
            <w:r>
              <w:rPr>
                <w:rFonts w:hint="default" w:ascii="Times New Roman" w:hAnsi="Times New Roman" w:eastAsia="宋体" w:cs="Times New Roman"/>
                <w:b w:val="0"/>
                <w:bCs w:val="0"/>
                <w:color w:val="000000"/>
                <w:sz w:val="21"/>
                <w:szCs w:val="24"/>
                <w:lang w:val="en-US" w:eastAsia="zh-CN"/>
              </w:rPr>
              <w:t>、NO</w:t>
            </w:r>
            <w:r>
              <w:rPr>
                <w:rFonts w:hint="default" w:ascii="Times New Roman" w:hAnsi="Times New Roman" w:eastAsia="宋体" w:cs="Times New Roman"/>
                <w:b w:val="0"/>
                <w:bCs w:val="0"/>
                <w:color w:val="000000"/>
                <w:sz w:val="21"/>
                <w:szCs w:val="24"/>
                <w:vertAlign w:val="subscript"/>
                <w:lang w:val="en-US" w:eastAsia="zh-CN"/>
              </w:rPr>
              <w:t>2</w:t>
            </w:r>
            <w:r>
              <w:rPr>
                <w:rFonts w:hint="default" w:ascii="Times New Roman" w:hAnsi="Times New Roman" w:eastAsia="宋体" w:cs="Times New Roman"/>
                <w:b w:val="0"/>
                <w:bCs w:val="0"/>
                <w:color w:val="000000"/>
                <w:sz w:val="21"/>
                <w:szCs w:val="24"/>
                <w:lang w:val="en-US" w:eastAsia="zh-CN"/>
              </w:rPr>
              <w:t>浓度为</w:t>
            </w:r>
            <w:r>
              <w:rPr>
                <w:rFonts w:hint="eastAsia" w:ascii="Times New Roman" w:hAnsi="Times New Roman" w:eastAsia="宋体" w:cs="Times New Roman"/>
                <w:b w:val="0"/>
                <w:bCs w:val="0"/>
                <w:color w:val="000000"/>
                <w:sz w:val="21"/>
                <w:szCs w:val="24"/>
                <w:lang w:val="en-US" w:eastAsia="zh-CN"/>
              </w:rPr>
              <w:t>0.018</w:t>
            </w:r>
            <w:r>
              <w:rPr>
                <w:rFonts w:hint="default" w:ascii="Times New Roman" w:hAnsi="Times New Roman" w:eastAsia="宋体" w:cs="Times New Roman"/>
                <w:b w:val="0"/>
                <w:bCs w:val="0"/>
                <w:color w:val="000000"/>
                <w:sz w:val="21"/>
                <w:szCs w:val="24"/>
                <w:lang w:val="en-US" w:eastAsia="zh-CN"/>
              </w:rPr>
              <w:t>mg/m</w:t>
            </w:r>
            <w:r>
              <w:rPr>
                <w:rFonts w:hint="default" w:ascii="Times New Roman" w:hAnsi="Times New Roman" w:eastAsia="宋体" w:cs="Times New Roman"/>
                <w:b w:val="0"/>
                <w:bCs w:val="0"/>
                <w:color w:val="000000"/>
                <w:sz w:val="21"/>
                <w:szCs w:val="24"/>
                <w:vertAlign w:val="superscript"/>
                <w:lang w:val="en-US" w:eastAsia="zh-CN"/>
              </w:rPr>
              <w:t>3</w:t>
            </w:r>
            <w:r>
              <w:rPr>
                <w:rFonts w:hint="default" w:ascii="Times New Roman" w:hAnsi="Times New Roman" w:eastAsia="宋体" w:cs="Times New Roman"/>
                <w:b w:val="0"/>
                <w:bCs w:val="0"/>
                <w:color w:val="000000"/>
                <w:sz w:val="21"/>
                <w:szCs w:val="24"/>
                <w:lang w:val="en-US" w:eastAsia="zh-CN"/>
              </w:rPr>
              <w:t>、SO</w:t>
            </w:r>
            <w:r>
              <w:rPr>
                <w:rFonts w:hint="default" w:ascii="Times New Roman" w:hAnsi="Times New Roman" w:eastAsia="宋体" w:cs="Times New Roman"/>
                <w:b w:val="0"/>
                <w:bCs w:val="0"/>
                <w:color w:val="000000"/>
                <w:sz w:val="21"/>
                <w:szCs w:val="24"/>
                <w:vertAlign w:val="subscript"/>
                <w:lang w:val="en-US" w:eastAsia="zh-CN"/>
              </w:rPr>
              <w:t>2</w:t>
            </w:r>
            <w:r>
              <w:rPr>
                <w:rFonts w:hint="default" w:ascii="Times New Roman" w:hAnsi="Times New Roman" w:eastAsia="宋体" w:cs="Times New Roman"/>
                <w:b w:val="0"/>
                <w:bCs w:val="0"/>
                <w:color w:val="000000"/>
                <w:sz w:val="21"/>
                <w:szCs w:val="24"/>
                <w:lang w:val="en-US" w:eastAsia="zh-CN"/>
              </w:rPr>
              <w:t>浓度为</w:t>
            </w:r>
            <w:r>
              <w:rPr>
                <w:rFonts w:hint="eastAsia" w:ascii="Times New Roman" w:hAnsi="Times New Roman" w:eastAsia="宋体" w:cs="Times New Roman"/>
                <w:b w:val="0"/>
                <w:bCs w:val="0"/>
                <w:color w:val="000000"/>
                <w:sz w:val="21"/>
                <w:szCs w:val="24"/>
                <w:lang w:val="en-US" w:eastAsia="zh-CN"/>
              </w:rPr>
              <w:t>0.007</w:t>
            </w:r>
            <w:r>
              <w:rPr>
                <w:rFonts w:hint="default" w:ascii="Times New Roman" w:hAnsi="Times New Roman" w:eastAsia="宋体" w:cs="Times New Roman"/>
                <w:b w:val="0"/>
                <w:bCs w:val="0"/>
                <w:color w:val="000000"/>
                <w:sz w:val="21"/>
                <w:szCs w:val="24"/>
                <w:lang w:val="en-US" w:eastAsia="zh-CN"/>
              </w:rPr>
              <w:t>mg/m</w:t>
            </w:r>
            <w:r>
              <w:rPr>
                <w:rFonts w:hint="default" w:ascii="Times New Roman" w:hAnsi="Times New Roman" w:eastAsia="宋体" w:cs="Times New Roman"/>
                <w:b w:val="0"/>
                <w:bCs w:val="0"/>
                <w:color w:val="000000"/>
                <w:sz w:val="21"/>
                <w:szCs w:val="24"/>
                <w:vertAlign w:val="superscript"/>
                <w:lang w:val="en-US" w:eastAsia="zh-CN"/>
              </w:rPr>
              <w:t>3</w:t>
            </w:r>
            <w:r>
              <w:rPr>
                <w:rFonts w:hint="default" w:ascii="Times New Roman" w:hAnsi="Times New Roman" w:eastAsia="宋体" w:cs="Times New Roman"/>
                <w:b w:val="0"/>
                <w:bCs w:val="0"/>
                <w:color w:val="000000"/>
                <w:sz w:val="21"/>
                <w:szCs w:val="24"/>
                <w:lang w:val="en-US" w:eastAsia="zh-CN"/>
              </w:rPr>
              <w:t>，一氧化碳（CO）日均值的第95百分位数和臭氧（O</w:t>
            </w:r>
            <w:r>
              <w:rPr>
                <w:rFonts w:hint="default" w:ascii="Times New Roman" w:hAnsi="Times New Roman" w:eastAsia="宋体" w:cs="Times New Roman"/>
                <w:b w:val="0"/>
                <w:bCs w:val="0"/>
                <w:color w:val="000000"/>
                <w:sz w:val="21"/>
                <w:szCs w:val="24"/>
                <w:vertAlign w:val="subscript"/>
                <w:lang w:val="en-US" w:eastAsia="zh-CN"/>
              </w:rPr>
              <w:t>3</w:t>
            </w:r>
            <w:r>
              <w:rPr>
                <w:rFonts w:hint="default" w:ascii="Times New Roman" w:hAnsi="Times New Roman" w:eastAsia="宋体" w:cs="Times New Roman"/>
                <w:b w:val="0"/>
                <w:bCs w:val="0"/>
                <w:color w:val="000000"/>
                <w:sz w:val="21"/>
                <w:szCs w:val="24"/>
                <w:lang w:val="en-US" w:eastAsia="zh-CN"/>
              </w:rPr>
              <w:t>）日最大8小时平均值的第90百分位数分别为0.</w:t>
            </w:r>
            <w:r>
              <w:rPr>
                <w:rFonts w:hint="eastAsia" w:ascii="Times New Roman" w:hAnsi="Times New Roman" w:eastAsia="宋体" w:cs="Times New Roman"/>
                <w:b w:val="0"/>
                <w:bCs w:val="0"/>
                <w:color w:val="000000"/>
                <w:sz w:val="21"/>
                <w:szCs w:val="24"/>
                <w:lang w:val="en-US" w:eastAsia="zh-CN"/>
              </w:rPr>
              <w:t>8</w:t>
            </w:r>
            <w:r>
              <w:rPr>
                <w:rFonts w:hint="default" w:ascii="Times New Roman" w:hAnsi="Times New Roman" w:eastAsia="宋体" w:cs="Times New Roman"/>
                <w:b w:val="0"/>
                <w:bCs w:val="0"/>
                <w:color w:val="000000"/>
                <w:sz w:val="21"/>
                <w:szCs w:val="24"/>
                <w:lang w:val="en-US" w:eastAsia="zh-CN"/>
              </w:rPr>
              <w:t>mg/m</w:t>
            </w:r>
            <w:r>
              <w:rPr>
                <w:rFonts w:hint="default" w:ascii="Times New Roman" w:hAnsi="Times New Roman" w:eastAsia="宋体" w:cs="Times New Roman"/>
                <w:b w:val="0"/>
                <w:bCs w:val="0"/>
                <w:color w:val="000000"/>
                <w:sz w:val="21"/>
                <w:szCs w:val="24"/>
                <w:vertAlign w:val="superscript"/>
                <w:lang w:val="en-US" w:eastAsia="zh-CN"/>
              </w:rPr>
              <w:t>3</w:t>
            </w:r>
            <w:r>
              <w:rPr>
                <w:rFonts w:hint="default" w:ascii="Times New Roman" w:hAnsi="Times New Roman" w:eastAsia="宋体" w:cs="Times New Roman"/>
                <w:b w:val="0"/>
                <w:bCs w:val="0"/>
                <w:color w:val="000000"/>
                <w:sz w:val="21"/>
                <w:szCs w:val="24"/>
                <w:lang w:val="en-US" w:eastAsia="zh-CN"/>
              </w:rPr>
              <w:t>、0.</w:t>
            </w:r>
            <w:r>
              <w:rPr>
                <w:rFonts w:hint="eastAsia" w:ascii="Times New Roman" w:hAnsi="Times New Roman" w:eastAsia="宋体" w:cs="Times New Roman"/>
                <w:b w:val="0"/>
                <w:bCs w:val="0"/>
                <w:color w:val="000000"/>
                <w:sz w:val="21"/>
                <w:szCs w:val="24"/>
                <w:lang w:val="en-US" w:eastAsia="zh-CN"/>
              </w:rPr>
              <w:t>153</w:t>
            </w:r>
            <w:r>
              <w:rPr>
                <w:rFonts w:hint="default" w:ascii="Times New Roman" w:hAnsi="Times New Roman" w:eastAsia="宋体" w:cs="Times New Roman"/>
                <w:b w:val="0"/>
                <w:bCs w:val="0"/>
                <w:color w:val="000000"/>
                <w:sz w:val="21"/>
                <w:szCs w:val="24"/>
                <w:lang w:val="en-US" w:eastAsia="zh-CN"/>
              </w:rPr>
              <w:t>mg/m</w:t>
            </w:r>
            <w:r>
              <w:rPr>
                <w:rFonts w:hint="default" w:ascii="Times New Roman" w:hAnsi="Times New Roman" w:eastAsia="宋体" w:cs="Times New Roman"/>
                <w:b w:val="0"/>
                <w:bCs w:val="0"/>
                <w:color w:val="000000"/>
                <w:sz w:val="21"/>
                <w:szCs w:val="24"/>
                <w:vertAlign w:val="superscript"/>
                <w:lang w:val="en-US" w:eastAsia="zh-CN"/>
              </w:rPr>
              <w:t>3</w:t>
            </w:r>
            <w:r>
              <w:rPr>
                <w:rFonts w:hint="default" w:ascii="Times New Roman" w:hAnsi="Times New Roman" w:eastAsia="宋体" w:cs="Times New Roman"/>
                <w:b w:val="0"/>
                <w:bCs w:val="0"/>
                <w:color w:val="000000"/>
                <w:sz w:val="21"/>
                <w:szCs w:val="24"/>
                <w:lang w:val="en-US" w:eastAsia="zh-CN"/>
              </w:rPr>
              <w:t>。环境空气质量可以达到《环境空气质量标准》（GB3095-2012）二级标准</w:t>
            </w:r>
            <w:r>
              <w:rPr>
                <w:rFonts w:hint="eastAsia" w:ascii="Times New Roman" w:hAnsi="Times New Roman" w:eastAsia="宋体" w:cs="Times New Roman"/>
                <w:b w:val="0"/>
                <w:bCs w:val="0"/>
                <w:color w:val="000000"/>
                <w:sz w:val="21"/>
                <w:szCs w:val="24"/>
                <w:lang w:val="en-US" w:eastAsia="zh-CN"/>
              </w:rPr>
              <w:t>，项目所在地为环境空气质量达标区。</w:t>
            </w:r>
          </w:p>
          <w:p w14:paraId="0307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为了解项目所在区域TSP的环境空气质量现状，委托福建省海博检测技术有限公司于202</w:t>
            </w:r>
            <w:r>
              <w:rPr>
                <w:rFonts w:hint="eastAsia"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年</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月</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日至</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月</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日对</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厂区周围的环境质量现状监测的监测数据，详见</w:t>
            </w:r>
            <w:r>
              <w:rPr>
                <w:rFonts w:hint="eastAsia" w:ascii="Times New Roman" w:hAnsi="Times New Roman" w:eastAsia="宋体" w:cs="Times New Roman"/>
                <w:b/>
                <w:bCs/>
                <w:color w:val="auto"/>
                <w:sz w:val="21"/>
                <w:szCs w:val="21"/>
                <w:highlight w:val="none"/>
                <w:lang w:val="en-US" w:eastAsia="zh-CN"/>
              </w:rPr>
              <w:t>表</w:t>
            </w:r>
            <w:r>
              <w:rPr>
                <w:rFonts w:hint="eastAsia" w:cs="Times New Roman"/>
                <w:b/>
                <w:bCs/>
                <w:color w:val="auto"/>
                <w:sz w:val="21"/>
                <w:szCs w:val="21"/>
                <w:highlight w:val="none"/>
                <w:lang w:val="en-US" w:eastAsia="zh-CN"/>
              </w:rPr>
              <w:t>3</w:t>
            </w:r>
            <w:r>
              <w:rPr>
                <w:rFonts w:hint="eastAsia"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，详见</w:t>
            </w:r>
            <w:r>
              <w:rPr>
                <w:rFonts w:hint="eastAsia" w:ascii="Times New Roman" w:hAnsi="Times New Roman" w:eastAsia="宋体" w:cs="Times New Roman"/>
                <w:b/>
                <w:bCs/>
                <w:color w:val="auto"/>
                <w:sz w:val="21"/>
                <w:szCs w:val="21"/>
                <w:highlight w:val="none"/>
                <w:lang w:val="en-US" w:eastAsia="zh-CN"/>
              </w:rPr>
              <w:t>附件</w:t>
            </w:r>
            <w:r>
              <w:rPr>
                <w:rFonts w:hint="eastAsia" w:cs="Times New Roman"/>
                <w:b/>
                <w:bCs/>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w:t>
            </w:r>
          </w:p>
          <w:p w14:paraId="3391E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b/>
                <w:bCs/>
                <w:color w:val="000000"/>
                <w:lang w:val="en-US" w:eastAsia="zh-CN"/>
              </w:rPr>
            </w:pPr>
            <w:r>
              <w:rPr>
                <w:rFonts w:hint="eastAsia"/>
                <w:b/>
                <w:bCs/>
                <w:color w:val="000000"/>
                <w:lang w:eastAsia="zh-CN"/>
              </w:rPr>
              <w:t>表</w:t>
            </w:r>
            <w:r>
              <w:rPr>
                <w:rFonts w:hint="eastAsia"/>
                <w:b/>
                <w:bCs/>
                <w:color w:val="000000"/>
                <w:lang w:val="en-US" w:eastAsia="zh-CN"/>
              </w:rPr>
              <w:t>3-4  项目周边环境</w:t>
            </w:r>
            <w:r>
              <w:rPr>
                <w:rFonts w:hint="eastAsia" w:ascii="Times New Roman" w:hAnsi="Times New Roman" w:eastAsia="宋体" w:cs="Times New Roman"/>
                <w:b/>
                <w:color w:val="000000"/>
                <w:sz w:val="21"/>
                <w:szCs w:val="21"/>
                <w:lang w:val="en-US" w:eastAsia="zh-CN"/>
              </w:rPr>
              <w:t>空气</w:t>
            </w:r>
            <w:r>
              <w:rPr>
                <w:rFonts w:hint="eastAsia"/>
                <w:b/>
                <w:bCs/>
                <w:color w:val="000000"/>
                <w:lang w:val="en-US" w:eastAsia="zh-CN"/>
              </w:rPr>
              <w:t>监测结果一览表</w:t>
            </w:r>
            <w:r>
              <w:rPr>
                <w:rFonts w:hint="default" w:ascii="Times New Roman" w:hAnsi="Times New Roman" w:eastAsia="宋体" w:cs="Times New Roman"/>
                <w:b/>
                <w:bCs/>
                <w:color w:val="000000"/>
                <w:sz w:val="21"/>
                <w:szCs w:val="21"/>
                <w:highlight w:val="none"/>
                <w:lang w:val="en-US" w:eastAsia="zh-CN"/>
              </w:rPr>
              <w:t xml:space="preserve"> </w:t>
            </w:r>
            <w:r>
              <w:rPr>
                <w:rFonts w:hint="eastAsia" w:cs="Times New Roman"/>
                <w:b/>
                <w:bCs/>
                <w:color w:val="000000"/>
                <w:sz w:val="21"/>
                <w:szCs w:val="21"/>
                <w:highlight w:val="none"/>
                <w:lang w:val="en-US" w:eastAsia="zh-CN"/>
              </w:rPr>
              <w:t xml:space="preserve">        </w:t>
            </w:r>
            <w:r>
              <w:rPr>
                <w:rFonts w:hint="default" w:ascii="Times New Roman" w:hAnsi="Times New Roman" w:eastAsia="宋体" w:cs="Times New Roman"/>
                <w:b/>
                <w:bCs/>
                <w:color w:val="000000"/>
                <w:sz w:val="21"/>
                <w:szCs w:val="21"/>
              </w:rPr>
              <w:t>单位：mg/m</w:t>
            </w:r>
            <w:r>
              <w:rPr>
                <w:rFonts w:hint="default" w:ascii="Times New Roman" w:hAnsi="Times New Roman" w:eastAsia="宋体" w:cs="Times New Roman"/>
                <w:b/>
                <w:bCs w:val="0"/>
                <w:color w:val="000000"/>
                <w:sz w:val="21"/>
                <w:szCs w:val="21"/>
                <w:vertAlign w:val="superscript"/>
              </w:rPr>
              <w:t>3</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752"/>
              <w:gridCol w:w="1340"/>
              <w:gridCol w:w="1011"/>
              <w:gridCol w:w="1188"/>
              <w:gridCol w:w="1082"/>
            </w:tblGrid>
            <w:tr w14:paraId="448B82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479" w:type="dxa"/>
                  <w:tcBorders>
                    <w:tl2br w:val="nil"/>
                    <w:tr2bl w:val="nil"/>
                  </w:tcBorders>
                  <w:noWrap w:val="0"/>
                  <w:vAlign w:val="center"/>
                </w:tcPr>
                <w:p w14:paraId="1BD6A8D0">
                  <w:pPr>
                    <w:keepNext w:val="0"/>
                    <w:keepLines w:val="0"/>
                    <w:suppressLineNumbers w:val="0"/>
                    <w:autoSpaceDE w:val="0"/>
                    <w:spacing w:before="31" w:beforeLines="10" w:beforeAutospacing="0" w:after="31" w:afterLines="10" w:afterAutospacing="0" w:line="0" w:lineRule="atLeast"/>
                    <w:ind w:left="0" w:right="0"/>
                    <w:jc w:val="center"/>
                    <w:rPr>
                      <w:rFonts w:hint="default" w:ascii="宋体" w:hAnsi="宋体"/>
                      <w:b/>
                      <w:bCs/>
                      <w:color w:val="000000"/>
                      <w:sz w:val="21"/>
                      <w:szCs w:val="21"/>
                    </w:rPr>
                  </w:pPr>
                  <w:r>
                    <w:rPr>
                      <w:rFonts w:hint="eastAsia" w:ascii="宋体" w:hAnsi="宋体"/>
                      <w:b/>
                      <w:bCs/>
                      <w:color w:val="000000"/>
                      <w:sz w:val="21"/>
                      <w:szCs w:val="21"/>
                    </w:rPr>
                    <w:t>监测点位</w:t>
                  </w:r>
                </w:p>
              </w:tc>
              <w:tc>
                <w:tcPr>
                  <w:tcW w:w="1752" w:type="dxa"/>
                  <w:tcBorders>
                    <w:tl2br w:val="single" w:color="auto" w:sz="4" w:space="0"/>
                  </w:tcBorders>
                  <w:noWrap w:val="0"/>
                  <w:vAlign w:val="center"/>
                </w:tcPr>
                <w:p w14:paraId="35A0B636">
                  <w:pPr>
                    <w:keepNext w:val="0"/>
                    <w:keepLines w:val="0"/>
                    <w:suppressLineNumbers w:val="0"/>
                    <w:autoSpaceDE w:val="0"/>
                    <w:spacing w:before="31" w:beforeLines="10" w:beforeAutospacing="0" w:after="31" w:afterLines="10" w:afterAutospacing="0" w:line="0" w:lineRule="atLeast"/>
                    <w:ind w:left="0" w:right="-107" w:rightChars="-51" w:firstLine="632" w:firstLineChars="300"/>
                    <w:jc w:val="both"/>
                    <w:rPr>
                      <w:rFonts w:hint="eastAsia" w:ascii="宋体" w:hAnsi="宋体"/>
                      <w:b/>
                      <w:bCs/>
                      <w:color w:val="000000"/>
                      <w:sz w:val="21"/>
                      <w:szCs w:val="21"/>
                    </w:rPr>
                  </w:pPr>
                  <w:r>
                    <w:rPr>
                      <w:rFonts w:hint="eastAsia" w:ascii="宋体" w:hAnsi="宋体"/>
                      <w:b/>
                      <w:bCs/>
                      <w:color w:val="000000"/>
                      <w:sz w:val="21"/>
                      <w:szCs w:val="21"/>
                    </w:rPr>
                    <w:t>监测频次</w:t>
                  </w:r>
                </w:p>
                <w:p w14:paraId="5B36D77B">
                  <w:pPr>
                    <w:keepNext w:val="0"/>
                    <w:keepLines w:val="0"/>
                    <w:suppressLineNumbers w:val="0"/>
                    <w:autoSpaceDE w:val="0"/>
                    <w:spacing w:before="31" w:beforeLines="10" w:beforeAutospacing="0" w:after="31" w:afterLines="10" w:afterAutospacing="0" w:line="0" w:lineRule="atLeast"/>
                    <w:ind w:left="-107" w:leftChars="-51" w:right="0"/>
                    <w:rPr>
                      <w:rFonts w:hint="default" w:ascii="宋体" w:hAnsi="宋体"/>
                      <w:b/>
                      <w:bCs/>
                      <w:color w:val="000000"/>
                      <w:sz w:val="21"/>
                      <w:szCs w:val="21"/>
                    </w:rPr>
                  </w:pPr>
                  <w:r>
                    <w:rPr>
                      <w:rFonts w:hint="eastAsia" w:ascii="宋体" w:hAnsi="宋体"/>
                      <w:b/>
                      <w:bCs/>
                      <w:color w:val="000000"/>
                      <w:sz w:val="21"/>
                      <w:szCs w:val="21"/>
                    </w:rPr>
                    <w:t>监测项目</w:t>
                  </w:r>
                </w:p>
              </w:tc>
              <w:tc>
                <w:tcPr>
                  <w:tcW w:w="1340" w:type="dxa"/>
                  <w:tcBorders>
                    <w:tl2br w:val="nil"/>
                    <w:tr2bl w:val="nil"/>
                  </w:tcBorders>
                  <w:noWrap w:val="0"/>
                  <w:vAlign w:val="center"/>
                </w:tcPr>
                <w:p w14:paraId="2B00F1C4">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hAnsi="宋体"/>
                      <w:b w:val="0"/>
                      <w:bCs w:val="0"/>
                      <w:color w:val="000000"/>
                      <w:kern w:val="0"/>
                      <w:sz w:val="21"/>
                      <w:szCs w:val="21"/>
                    </w:rPr>
                  </w:pPr>
                  <w:r>
                    <w:rPr>
                      <w:rFonts w:hint="default" w:ascii="Times New Roman" w:hAnsi="Times New Roman" w:cs="Times New Roman"/>
                      <w:b/>
                      <w:bCs/>
                      <w:color w:val="000000"/>
                      <w:highlight w:val="none"/>
                    </w:rPr>
                    <w:t>浓度范围</w:t>
                  </w:r>
                </w:p>
              </w:tc>
              <w:tc>
                <w:tcPr>
                  <w:tcW w:w="1011" w:type="dxa"/>
                  <w:tcBorders>
                    <w:tl2br w:val="nil"/>
                    <w:tr2bl w:val="nil"/>
                  </w:tcBorders>
                  <w:noWrap w:val="0"/>
                  <w:vAlign w:val="center"/>
                </w:tcPr>
                <w:p w14:paraId="62423E1C">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hAnsi="宋体"/>
                      <w:b w:val="0"/>
                      <w:bCs w:val="0"/>
                      <w:color w:val="000000"/>
                      <w:kern w:val="0"/>
                      <w:sz w:val="21"/>
                      <w:szCs w:val="21"/>
                    </w:rPr>
                  </w:pPr>
                  <w:r>
                    <w:rPr>
                      <w:rFonts w:hint="default" w:ascii="Times New Roman" w:hAnsi="Times New Roman" w:cs="Times New Roman"/>
                      <w:b/>
                      <w:bCs/>
                      <w:color w:val="000000"/>
                      <w:highlight w:val="none"/>
                    </w:rPr>
                    <w:t>最大值</w:t>
                  </w:r>
                </w:p>
              </w:tc>
              <w:tc>
                <w:tcPr>
                  <w:tcW w:w="1188" w:type="dxa"/>
                  <w:tcBorders>
                    <w:tl2br w:val="nil"/>
                    <w:tr2bl w:val="nil"/>
                  </w:tcBorders>
                  <w:noWrap w:val="0"/>
                  <w:vAlign w:val="center"/>
                </w:tcPr>
                <w:p w14:paraId="50BCCD30">
                  <w:pPr>
                    <w:keepNext w:val="0"/>
                    <w:keepLines w:val="0"/>
                    <w:suppressLineNumbers w:val="0"/>
                    <w:autoSpaceDE w:val="0"/>
                    <w:spacing w:before="31" w:beforeLines="10" w:beforeAutospacing="0" w:after="31" w:afterLines="10" w:afterAutospacing="0" w:line="0" w:lineRule="atLeast"/>
                    <w:ind w:left="0" w:right="0"/>
                    <w:jc w:val="center"/>
                    <w:rPr>
                      <w:rFonts w:hint="default" w:ascii="宋体" w:hAnsi="宋体"/>
                      <w:b/>
                      <w:bCs/>
                      <w:color w:val="000000"/>
                      <w:sz w:val="21"/>
                      <w:szCs w:val="21"/>
                    </w:rPr>
                  </w:pPr>
                  <w:r>
                    <w:rPr>
                      <w:rFonts w:hint="eastAsia" w:ascii="宋体" w:hAnsi="宋体"/>
                      <w:b/>
                      <w:bCs/>
                      <w:color w:val="000000"/>
                      <w:sz w:val="21"/>
                      <w:szCs w:val="21"/>
                    </w:rPr>
                    <w:t>标准限值</w:t>
                  </w:r>
                </w:p>
              </w:tc>
              <w:tc>
                <w:tcPr>
                  <w:tcW w:w="1082" w:type="dxa"/>
                  <w:tcBorders>
                    <w:tl2br w:val="nil"/>
                    <w:tr2bl w:val="nil"/>
                  </w:tcBorders>
                  <w:noWrap w:val="0"/>
                  <w:vAlign w:val="center"/>
                </w:tcPr>
                <w:p w14:paraId="6FE7C866">
                  <w:pPr>
                    <w:keepNext w:val="0"/>
                    <w:keepLines w:val="0"/>
                    <w:suppressLineNumbers w:val="0"/>
                    <w:autoSpaceDE w:val="0"/>
                    <w:spacing w:before="31" w:beforeLines="10" w:beforeAutospacing="0" w:after="31" w:afterLines="10" w:afterAutospacing="0" w:line="0" w:lineRule="atLeast"/>
                    <w:ind w:left="0" w:right="0"/>
                    <w:jc w:val="center"/>
                    <w:rPr>
                      <w:rFonts w:hint="eastAsia" w:ascii="宋体" w:hAnsi="宋体" w:eastAsia="宋体"/>
                      <w:b/>
                      <w:bCs/>
                      <w:color w:val="000000"/>
                      <w:sz w:val="21"/>
                      <w:szCs w:val="21"/>
                      <w:lang w:eastAsia="zh-CN"/>
                    </w:rPr>
                  </w:pPr>
                  <w:r>
                    <w:rPr>
                      <w:rFonts w:hint="eastAsia" w:ascii="宋体" w:hAnsi="宋体"/>
                      <w:b/>
                      <w:bCs/>
                      <w:color w:val="000000"/>
                      <w:sz w:val="21"/>
                      <w:szCs w:val="21"/>
                      <w:lang w:eastAsia="zh-CN"/>
                    </w:rPr>
                    <w:t>达标情况</w:t>
                  </w:r>
                </w:p>
              </w:tc>
            </w:tr>
            <w:tr w14:paraId="074A04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9" w:type="dxa"/>
                  <w:tcBorders>
                    <w:tl2br w:val="nil"/>
                    <w:tr2bl w:val="nil"/>
                  </w:tcBorders>
                  <w:noWrap w:val="0"/>
                  <w:vAlign w:val="center"/>
                </w:tcPr>
                <w:p w14:paraId="1F34E45E">
                  <w:pPr>
                    <w:keepNext w:val="0"/>
                    <w:keepLines w:val="0"/>
                    <w:suppressLineNumbers w:val="0"/>
                    <w:spacing w:before="31" w:beforeLines="10" w:beforeAutospacing="0" w:after="31" w:afterLines="10" w:afterAutospacing="0" w:line="0" w:lineRule="atLeast"/>
                    <w:ind w:left="0" w:right="0"/>
                    <w:jc w:val="center"/>
                    <w:rPr>
                      <w:rFonts w:hint="eastAsia"/>
                      <w:color w:val="000000"/>
                      <w:sz w:val="21"/>
                      <w:szCs w:val="21"/>
                    </w:rPr>
                  </w:pPr>
                  <w:r>
                    <w:rPr>
                      <w:rFonts w:hint="eastAsia"/>
                      <w:color w:val="000000"/>
                      <w:sz w:val="21"/>
                      <w:szCs w:val="21"/>
                      <w:lang w:val="en-US" w:eastAsia="zh-CN"/>
                    </w:rPr>
                    <w:t>环境空气</w:t>
                  </w:r>
                  <w:r>
                    <w:rPr>
                      <w:rFonts w:hint="eastAsia"/>
                      <w:color w:val="000000"/>
                      <w:sz w:val="21"/>
                      <w:szCs w:val="21"/>
                    </w:rPr>
                    <w:t>监测点位○1</w:t>
                  </w:r>
                  <w:r>
                    <w:rPr>
                      <w:rFonts w:hint="eastAsia"/>
                      <w:color w:val="000000"/>
                      <w:sz w:val="21"/>
                      <w:szCs w:val="21"/>
                      <w:vertAlign w:val="superscript"/>
                    </w:rPr>
                    <w:t>#</w:t>
                  </w:r>
                </w:p>
              </w:tc>
              <w:tc>
                <w:tcPr>
                  <w:tcW w:w="1752" w:type="dxa"/>
                  <w:tcBorders>
                    <w:tl2br w:val="nil"/>
                    <w:tr2bl w:val="nil"/>
                  </w:tcBorders>
                  <w:noWrap w:val="0"/>
                  <w:vAlign w:val="center"/>
                </w:tcPr>
                <w:p w14:paraId="11E2E98F">
                  <w:pPr>
                    <w:keepNext w:val="0"/>
                    <w:keepLines w:val="0"/>
                    <w:suppressLineNumbers w:val="0"/>
                    <w:spacing w:before="31" w:beforeLines="10" w:beforeAutospacing="0" w:after="31" w:afterLines="10" w:afterAutospacing="0" w:line="0" w:lineRule="atLeast"/>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TSP</w:t>
                  </w:r>
                </w:p>
              </w:tc>
              <w:tc>
                <w:tcPr>
                  <w:tcW w:w="1340" w:type="dxa"/>
                  <w:tcBorders>
                    <w:tl2br w:val="nil"/>
                    <w:tr2bl w:val="nil"/>
                  </w:tcBorders>
                  <w:noWrap w:val="0"/>
                  <w:vAlign w:val="center"/>
                </w:tcPr>
                <w:p w14:paraId="05649476">
                  <w:pPr>
                    <w:keepNext w:val="0"/>
                    <w:keepLines w:val="0"/>
                    <w:suppressLineNumbers w:val="0"/>
                    <w:spacing w:before="31" w:beforeLines="10" w:beforeAutospacing="0" w:after="31" w:afterLines="10" w:afterAutospacing="0" w:line="0" w:lineRule="atLeast"/>
                    <w:ind w:left="0" w:leftChars="0" w:right="0" w:rightChars="0"/>
                    <w:jc w:val="center"/>
                    <w:rPr>
                      <w:rFonts w:hint="default" w:ascii="Times New Roman" w:hAnsi="Times New Roman" w:eastAsia="宋体" w:cs="Times New Roman"/>
                      <w:color w:val="000000"/>
                      <w:kern w:val="2"/>
                      <w:sz w:val="21"/>
                      <w:szCs w:val="24"/>
                      <w:lang w:val="en-US" w:eastAsia="zh-CN" w:bidi="ar-SA"/>
                    </w:rPr>
                  </w:pPr>
                </w:p>
              </w:tc>
              <w:tc>
                <w:tcPr>
                  <w:tcW w:w="1011" w:type="dxa"/>
                  <w:tcBorders>
                    <w:tl2br w:val="nil"/>
                    <w:tr2bl w:val="nil"/>
                  </w:tcBorders>
                  <w:noWrap w:val="0"/>
                  <w:vAlign w:val="center"/>
                </w:tcPr>
                <w:p w14:paraId="08486A2F">
                  <w:pPr>
                    <w:keepNext w:val="0"/>
                    <w:keepLines w:val="0"/>
                    <w:suppressLineNumbers w:val="0"/>
                    <w:spacing w:before="31" w:beforeLines="10" w:beforeAutospacing="0" w:after="31" w:afterLines="10" w:afterAutospacing="0" w:line="0" w:lineRule="atLeast"/>
                    <w:ind w:left="0" w:leftChars="0" w:right="0" w:rightChars="0"/>
                    <w:jc w:val="center"/>
                    <w:rPr>
                      <w:rFonts w:hint="default" w:ascii="Times New Roman" w:hAnsi="Times New Roman" w:eastAsia="宋体" w:cs="Times New Roman"/>
                      <w:color w:val="000000"/>
                      <w:kern w:val="2"/>
                      <w:sz w:val="21"/>
                      <w:szCs w:val="21"/>
                      <w:highlight w:val="none"/>
                      <w:lang w:val="en-US" w:eastAsia="zh-CN" w:bidi="ar-SA"/>
                    </w:rPr>
                  </w:pPr>
                </w:p>
              </w:tc>
              <w:tc>
                <w:tcPr>
                  <w:tcW w:w="1188" w:type="dxa"/>
                  <w:tcBorders>
                    <w:tl2br w:val="nil"/>
                    <w:tr2bl w:val="nil"/>
                  </w:tcBorders>
                  <w:noWrap w:val="0"/>
                  <w:vAlign w:val="center"/>
                </w:tcPr>
                <w:p w14:paraId="39640963">
                  <w:pPr>
                    <w:keepNext w:val="0"/>
                    <w:keepLines w:val="0"/>
                    <w:suppressLineNumbers w:val="0"/>
                    <w:spacing w:before="31" w:beforeLines="10" w:beforeAutospacing="0" w:after="31" w:afterLines="10" w:afterAutospacing="0" w:line="0" w:lineRule="atLeast"/>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0.3</w:t>
                  </w:r>
                </w:p>
              </w:tc>
              <w:tc>
                <w:tcPr>
                  <w:tcW w:w="1082" w:type="dxa"/>
                  <w:tcBorders>
                    <w:tl2br w:val="nil"/>
                    <w:tr2bl w:val="nil"/>
                  </w:tcBorders>
                  <w:noWrap w:val="0"/>
                  <w:vAlign w:val="center"/>
                </w:tcPr>
                <w:p w14:paraId="3118D962">
                  <w:pPr>
                    <w:keepNext w:val="0"/>
                    <w:keepLines w:val="0"/>
                    <w:suppressLineNumbers w:val="0"/>
                    <w:spacing w:before="31" w:beforeLines="10" w:beforeAutospacing="0" w:after="31" w:afterLines="10" w:afterAutospacing="0" w:line="0" w:lineRule="atLeast"/>
                    <w:ind w:left="0" w:leftChars="0" w:right="0" w:rightChars="0"/>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eastAsia="zh-CN"/>
                    </w:rPr>
                    <w:t>达标</w:t>
                  </w:r>
                </w:p>
              </w:tc>
            </w:tr>
          </w:tbl>
          <w:p w14:paraId="2286F3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color w:val="000000"/>
                <w:sz w:val="21"/>
                <w:szCs w:val="21"/>
              </w:rPr>
            </w:pPr>
            <w:r>
              <w:rPr>
                <w:rFonts w:hint="default"/>
                <w:color w:val="000000"/>
              </w:rPr>
              <w:t>根据</w:t>
            </w:r>
            <w:r>
              <w:rPr>
                <w:rFonts w:hint="eastAsia"/>
                <w:b/>
                <w:bCs/>
                <w:color w:val="000000"/>
                <w:lang w:eastAsia="zh-CN"/>
              </w:rPr>
              <w:t>表</w:t>
            </w:r>
            <w:r>
              <w:rPr>
                <w:rFonts w:hint="eastAsia"/>
                <w:b/>
                <w:bCs/>
                <w:color w:val="000000"/>
                <w:lang w:val="en-US" w:eastAsia="zh-CN"/>
              </w:rPr>
              <w:t>3-4</w:t>
            </w:r>
            <w:r>
              <w:rPr>
                <w:rFonts w:hint="default"/>
                <w:color w:val="000000"/>
              </w:rPr>
              <w:t>可知，项目所在区域环境空气中</w:t>
            </w:r>
            <w:r>
              <w:rPr>
                <w:rFonts w:hint="eastAsia"/>
                <w:color w:val="000000"/>
                <w:lang w:val="en-US" w:eastAsia="zh-CN"/>
              </w:rPr>
              <w:t>TSP</w:t>
            </w:r>
            <w:r>
              <w:rPr>
                <w:rFonts w:hint="default"/>
                <w:color w:val="000000"/>
              </w:rPr>
              <w:t>现状符合评价标准</w:t>
            </w:r>
            <w:r>
              <w:rPr>
                <w:rFonts w:hint="eastAsia"/>
                <w:color w:val="000000"/>
                <w:lang w:eastAsia="zh-CN"/>
              </w:rPr>
              <w:t>，</w:t>
            </w:r>
            <w:r>
              <w:rPr>
                <w:rFonts w:hint="default"/>
                <w:color w:val="000000"/>
              </w:rPr>
              <w:t>现状良好。</w:t>
            </w:r>
          </w:p>
          <w:p w14:paraId="759AD07D">
            <w:pPr>
              <w:pStyle w:val="8"/>
              <w:keepNext/>
              <w:keepLines/>
              <w:pageBreakBefore w:val="0"/>
              <w:widowControl w:val="0"/>
              <w:suppressLineNumbers w:val="0"/>
              <w:kinsoku/>
              <w:wordWrap/>
              <w:overflowPunct/>
              <w:topLinePunct w:val="0"/>
              <w:autoSpaceDE/>
              <w:autoSpaceDN/>
              <w:bidi w:val="0"/>
              <w:adjustRightInd/>
              <w:snapToGrid/>
              <w:spacing w:before="0" w:beforeLines="0" w:beforeAutospacing="0" w:after="0" w:afterAutospacing="0" w:line="360" w:lineRule="auto"/>
              <w:ind w:left="0" w:right="0" w:firstLine="422"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b/>
                <w:bCs/>
                <w:color w:val="000000"/>
                <w:sz w:val="21"/>
                <w:szCs w:val="21"/>
              </w:rPr>
              <w:t>声环境质量现状</w:t>
            </w:r>
          </w:p>
          <w:p w14:paraId="202ED1F1">
            <w:pPr>
              <w:pStyle w:val="24"/>
              <w:keepNext w:val="0"/>
              <w:keepLines w:val="0"/>
              <w:suppressLineNumbers w:val="0"/>
              <w:spacing w:before="0" w:beforeAutospacing="0" w:after="0"/>
              <w:ind w:right="0" w:firstLine="420" w:firstLineChars="200"/>
              <w:jc w:val="both"/>
              <w:rPr>
                <w:rFonts w:hint="default"/>
                <w:color w:val="auto"/>
                <w:sz w:val="21"/>
                <w:szCs w:val="21"/>
                <w:highlight w:val="none"/>
              </w:rPr>
            </w:pPr>
            <w:r>
              <w:rPr>
                <w:rFonts w:hint="default"/>
                <w:color w:val="auto"/>
                <w:sz w:val="21"/>
                <w:szCs w:val="21"/>
                <w:highlight w:val="none"/>
              </w:rPr>
              <w:t>1）声环境质量标准</w:t>
            </w:r>
          </w:p>
          <w:p w14:paraId="0C01732F">
            <w:pPr>
              <w:pStyle w:val="24"/>
              <w:keepNext w:val="0"/>
              <w:keepLines w:val="0"/>
              <w:suppressLineNumbers w:val="0"/>
              <w:spacing w:before="0" w:beforeAutospacing="0" w:after="0"/>
              <w:ind w:right="0" w:firstLine="420" w:firstLineChars="200"/>
              <w:jc w:val="both"/>
              <w:rPr>
                <w:rFonts w:hint="default"/>
                <w:color w:val="auto"/>
                <w:sz w:val="21"/>
                <w:szCs w:val="21"/>
                <w:highlight w:val="none"/>
              </w:rPr>
            </w:pPr>
            <w:r>
              <w:rPr>
                <w:rFonts w:hint="eastAsia"/>
                <w:color w:val="auto"/>
                <w:sz w:val="21"/>
                <w:szCs w:val="21"/>
                <w:highlight w:val="none"/>
              </w:rPr>
              <w:t>项目所在区域声环境功能区划分为3类功能区，声环境质量执行《声环境质量标准》（GB3096-2008）3类标准，</w:t>
            </w:r>
            <w:r>
              <w:rPr>
                <w:rFonts w:hint="default"/>
                <w:color w:val="auto"/>
                <w:sz w:val="21"/>
                <w:szCs w:val="21"/>
                <w:highlight w:val="none"/>
              </w:rPr>
              <w:t>即昼间环境噪声≤65dB(A)，夜间环境噪声≤55dB(A)</w:t>
            </w:r>
            <w:r>
              <w:rPr>
                <w:rFonts w:hint="eastAsia"/>
                <w:color w:val="auto"/>
                <w:sz w:val="21"/>
                <w:szCs w:val="21"/>
                <w:highlight w:val="none"/>
              </w:rPr>
              <w:t>。项目东侧敏感目标</w:t>
            </w:r>
            <w:r>
              <w:rPr>
                <w:rFonts w:hint="default"/>
                <w:color w:val="auto"/>
                <w:sz w:val="21"/>
                <w:szCs w:val="21"/>
                <w:highlight w:val="none"/>
              </w:rPr>
              <w:t>执行《声环境质量标准》（GB3096-2008）的</w:t>
            </w:r>
            <w:r>
              <w:rPr>
                <w:rFonts w:hint="eastAsia"/>
                <w:color w:val="auto"/>
                <w:sz w:val="21"/>
                <w:szCs w:val="21"/>
                <w:highlight w:val="none"/>
              </w:rPr>
              <w:t>2</w:t>
            </w:r>
            <w:r>
              <w:rPr>
                <w:rFonts w:hint="default"/>
                <w:color w:val="auto"/>
                <w:sz w:val="21"/>
                <w:szCs w:val="21"/>
                <w:highlight w:val="none"/>
              </w:rPr>
              <w:t>类区标准，即昼间环境噪声≤</w:t>
            </w:r>
            <w:r>
              <w:rPr>
                <w:rFonts w:hint="eastAsia"/>
                <w:color w:val="auto"/>
                <w:sz w:val="21"/>
                <w:szCs w:val="21"/>
                <w:highlight w:val="none"/>
              </w:rPr>
              <w:t>60</w:t>
            </w:r>
            <w:r>
              <w:rPr>
                <w:rFonts w:hint="default"/>
                <w:color w:val="auto"/>
                <w:sz w:val="21"/>
                <w:szCs w:val="21"/>
                <w:highlight w:val="none"/>
              </w:rPr>
              <w:t>dB(A)，夜间环境噪声≤5</w:t>
            </w:r>
            <w:r>
              <w:rPr>
                <w:rFonts w:hint="eastAsia"/>
                <w:color w:val="auto"/>
                <w:sz w:val="21"/>
                <w:szCs w:val="21"/>
                <w:highlight w:val="none"/>
              </w:rPr>
              <w:t>0</w:t>
            </w:r>
            <w:r>
              <w:rPr>
                <w:rFonts w:hint="default"/>
                <w:color w:val="auto"/>
                <w:sz w:val="21"/>
                <w:szCs w:val="21"/>
                <w:highlight w:val="none"/>
              </w:rPr>
              <w:t>dB(A)，见</w:t>
            </w:r>
            <w:r>
              <w:rPr>
                <w:rFonts w:hint="default"/>
                <w:b/>
                <w:bCs/>
                <w:color w:val="auto"/>
                <w:sz w:val="21"/>
                <w:szCs w:val="21"/>
                <w:highlight w:val="none"/>
              </w:rPr>
              <w:t>附图</w:t>
            </w:r>
            <w:r>
              <w:rPr>
                <w:rFonts w:hint="eastAsia"/>
                <w:b/>
                <w:bCs/>
                <w:color w:val="auto"/>
                <w:sz w:val="21"/>
                <w:szCs w:val="21"/>
                <w:highlight w:val="none"/>
                <w:lang w:val="en-US" w:eastAsia="zh-CN"/>
              </w:rPr>
              <w:t>8</w:t>
            </w:r>
            <w:r>
              <w:rPr>
                <w:rFonts w:hint="default"/>
                <w:color w:val="auto"/>
                <w:sz w:val="21"/>
                <w:szCs w:val="21"/>
                <w:highlight w:val="none"/>
              </w:rPr>
              <w:t>。</w:t>
            </w:r>
          </w:p>
          <w:p w14:paraId="40116DCF">
            <w:pPr>
              <w:keepNext w:val="0"/>
              <w:keepLines w:val="0"/>
              <w:suppressLineNumbers w:val="0"/>
              <w:spacing w:before="0" w:beforeAutospacing="0" w:after="0" w:afterAutospacing="0"/>
              <w:ind w:left="0" w:right="0" w:firstLine="420" w:firstLineChars="200"/>
              <w:rPr>
                <w:rFonts w:hint="default"/>
                <w:color w:val="auto"/>
                <w:highlight w:val="none"/>
              </w:rPr>
            </w:pPr>
            <w:r>
              <w:rPr>
                <w:rFonts w:hint="eastAsia"/>
                <w:color w:val="auto"/>
                <w:highlight w:val="none"/>
              </w:rPr>
              <w:t>2）声环境质量现状</w:t>
            </w:r>
          </w:p>
          <w:p w14:paraId="5A61E8F3">
            <w:pPr>
              <w:keepNext w:val="0"/>
              <w:keepLines w:val="0"/>
              <w:suppressLineNumbers w:val="0"/>
              <w:spacing w:before="0" w:beforeAutospacing="0" w:after="0" w:afterAutospacing="0"/>
              <w:ind w:left="0" w:right="0" w:firstLine="420" w:firstLineChars="200"/>
              <w:rPr>
                <w:rFonts w:hint="eastAsia"/>
                <w:b/>
                <w:bCs/>
                <w:color w:val="auto"/>
                <w:highlight w:val="none"/>
              </w:rPr>
            </w:pPr>
            <w:r>
              <w:rPr>
                <w:rFonts w:hint="eastAsia"/>
                <w:color w:val="auto"/>
                <w:highlight w:val="none"/>
              </w:rPr>
              <w:t>项目</w:t>
            </w:r>
            <w:r>
              <w:rPr>
                <w:rFonts w:hint="eastAsia"/>
                <w:color w:val="auto"/>
                <w:highlight w:val="none"/>
                <w:lang w:val="en-US" w:eastAsia="zh-CN"/>
              </w:rPr>
              <w:t>建设单位</w:t>
            </w:r>
            <w:r>
              <w:rPr>
                <w:rFonts w:hint="eastAsia"/>
                <w:color w:val="auto"/>
                <w:highlight w:val="none"/>
              </w:rPr>
              <w:t>委托福建省海博检测技术有限公司于202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w:t>
            </w:r>
            <w:r>
              <w:rPr>
                <w:rFonts w:hint="eastAsia"/>
                <w:color w:val="auto"/>
                <w:highlight w:val="none"/>
              </w:rPr>
              <w:t>月</w:t>
            </w:r>
            <w:r>
              <w:rPr>
                <w:rFonts w:hint="eastAsia"/>
                <w:color w:val="auto"/>
                <w:highlight w:val="none"/>
                <w:lang w:val="en-US" w:eastAsia="zh-CN"/>
              </w:rPr>
              <w:t>*</w:t>
            </w:r>
            <w:r>
              <w:rPr>
                <w:rFonts w:hint="eastAsia"/>
                <w:color w:val="auto"/>
                <w:highlight w:val="none"/>
              </w:rPr>
              <w:t>日对项目周围现状环境噪声进行监测，</w:t>
            </w:r>
            <w:r>
              <w:rPr>
                <w:rFonts w:hint="eastAsia" w:cs="宋体"/>
                <w:color w:val="auto"/>
                <w:kern w:val="0"/>
                <w:szCs w:val="21"/>
                <w:highlight w:val="none"/>
              </w:rPr>
              <w:t>因厂界</w:t>
            </w:r>
            <w:r>
              <w:rPr>
                <w:rFonts w:hint="eastAsia" w:cs="宋体"/>
                <w:color w:val="auto"/>
                <w:kern w:val="0"/>
                <w:szCs w:val="21"/>
                <w:highlight w:val="none"/>
                <w:lang w:val="en-US" w:eastAsia="zh-CN"/>
              </w:rPr>
              <w:t>西侧</w:t>
            </w:r>
            <w:r>
              <w:rPr>
                <w:rFonts w:hint="eastAsia" w:cs="宋体"/>
                <w:color w:val="auto"/>
                <w:kern w:val="0"/>
                <w:szCs w:val="21"/>
                <w:highlight w:val="none"/>
              </w:rPr>
              <w:t>为与</w:t>
            </w:r>
            <w:r>
              <w:rPr>
                <w:rFonts w:hint="default" w:ascii="Times New Roman" w:hAnsi="Times New Roman" w:cs="Times New Roman"/>
                <w:color w:val="auto"/>
                <w:sz w:val="21"/>
                <w:szCs w:val="21"/>
                <w:vertAlign w:val="baseline"/>
                <w:lang w:val="en-US" w:eastAsia="zh-CN"/>
              </w:rPr>
              <w:t>泉州龙豪服饰织造有限公司</w:t>
            </w:r>
            <w:r>
              <w:rPr>
                <w:rFonts w:hint="eastAsia" w:cs="宋体"/>
                <w:color w:val="auto"/>
                <w:kern w:val="0"/>
                <w:szCs w:val="21"/>
                <w:highlight w:val="none"/>
              </w:rPr>
              <w:t>的共用围墙，</w:t>
            </w:r>
            <w:r>
              <w:rPr>
                <w:rFonts w:hint="eastAsia" w:cs="宋体"/>
                <w:color w:val="auto"/>
                <w:kern w:val="0"/>
                <w:szCs w:val="21"/>
                <w:highlight w:val="none"/>
                <w:lang w:val="en-US" w:eastAsia="zh-CN"/>
              </w:rPr>
              <w:t>东</w:t>
            </w:r>
            <w:r>
              <w:rPr>
                <w:rFonts w:hint="eastAsia" w:cs="宋体"/>
                <w:color w:val="auto"/>
                <w:kern w:val="0"/>
                <w:szCs w:val="21"/>
                <w:highlight w:val="none"/>
              </w:rPr>
              <w:t>侧为与</w:t>
            </w:r>
            <w:r>
              <w:rPr>
                <w:rFonts w:hint="eastAsia" w:cs="Times New Roman"/>
                <w:color w:val="auto"/>
                <w:sz w:val="21"/>
                <w:szCs w:val="21"/>
                <w:vertAlign w:val="baseline"/>
                <w:lang w:val="en-US" w:eastAsia="zh-CN"/>
              </w:rPr>
              <w:t>云扬航空学校</w:t>
            </w:r>
            <w:r>
              <w:rPr>
                <w:rFonts w:hint="eastAsia" w:cs="宋体"/>
                <w:color w:val="auto"/>
                <w:kern w:val="0"/>
                <w:szCs w:val="21"/>
                <w:highlight w:val="none"/>
              </w:rPr>
              <w:t>的共用围墙，无监测条件，</w:t>
            </w:r>
            <w:r>
              <w:rPr>
                <w:rFonts w:hint="eastAsia"/>
                <w:color w:val="auto"/>
                <w:highlight w:val="none"/>
              </w:rPr>
              <w:t>监测结果见</w:t>
            </w:r>
            <w:r>
              <w:rPr>
                <w:rFonts w:hint="eastAsia"/>
                <w:b/>
                <w:bCs/>
                <w:color w:val="auto"/>
                <w:highlight w:val="none"/>
              </w:rPr>
              <w:t>表3-</w:t>
            </w:r>
            <w:r>
              <w:rPr>
                <w:rFonts w:hint="eastAsia"/>
                <w:b/>
                <w:bCs/>
                <w:color w:val="auto"/>
                <w:highlight w:val="none"/>
                <w:lang w:val="en-US" w:eastAsia="zh-CN"/>
              </w:rPr>
              <w:t>5</w:t>
            </w:r>
            <w:r>
              <w:rPr>
                <w:rFonts w:hint="eastAsia"/>
                <w:color w:val="auto"/>
                <w:highlight w:val="none"/>
              </w:rPr>
              <w:t>，监测点位图详见</w:t>
            </w:r>
            <w:r>
              <w:rPr>
                <w:rFonts w:hint="eastAsia"/>
                <w:b/>
                <w:bCs/>
                <w:color w:val="auto"/>
                <w:highlight w:val="none"/>
              </w:rPr>
              <w:t>附图</w:t>
            </w:r>
            <w:r>
              <w:rPr>
                <w:rFonts w:hint="eastAsia"/>
                <w:b/>
                <w:bCs/>
                <w:color w:val="auto"/>
                <w:highlight w:val="none"/>
                <w:lang w:val="en-US" w:eastAsia="zh-CN"/>
              </w:rPr>
              <w:t>8</w:t>
            </w:r>
            <w:r>
              <w:rPr>
                <w:rFonts w:hint="eastAsia"/>
                <w:color w:val="auto"/>
                <w:highlight w:val="none"/>
              </w:rPr>
              <w:t>，检测报告详见</w:t>
            </w:r>
            <w:r>
              <w:rPr>
                <w:rFonts w:hint="eastAsia"/>
                <w:b/>
                <w:bCs/>
                <w:color w:val="auto"/>
                <w:highlight w:val="none"/>
              </w:rPr>
              <w:t>附件6</w:t>
            </w:r>
            <w:r>
              <w:rPr>
                <w:rFonts w:hint="eastAsia"/>
                <w:color w:val="auto"/>
                <w:highlight w:val="none"/>
              </w:rPr>
              <w:t>。</w:t>
            </w:r>
          </w:p>
          <w:p w14:paraId="3B324E1C">
            <w:pPr>
              <w:keepNext w:val="0"/>
              <w:keepLines w:val="0"/>
              <w:suppressLineNumbers w:val="0"/>
              <w:spacing w:before="0" w:beforeAutospacing="0" w:after="0" w:afterAutospacing="0" w:line="240" w:lineRule="auto"/>
              <w:ind w:left="0" w:right="0"/>
              <w:jc w:val="center"/>
              <w:rPr>
                <w:rFonts w:hint="eastAsia"/>
                <w:b/>
                <w:bCs/>
                <w:color w:val="auto"/>
                <w:highlight w:val="none"/>
              </w:rPr>
            </w:pPr>
            <w:r>
              <w:rPr>
                <w:rFonts w:hint="eastAsia"/>
                <w:b/>
                <w:bCs/>
                <w:color w:val="auto"/>
                <w:highlight w:val="none"/>
              </w:rPr>
              <w:t>表3-</w:t>
            </w:r>
            <w:r>
              <w:rPr>
                <w:rFonts w:hint="eastAsia"/>
                <w:b/>
                <w:bCs/>
                <w:color w:val="auto"/>
                <w:highlight w:val="none"/>
                <w:lang w:val="en-US" w:eastAsia="zh-CN"/>
              </w:rPr>
              <w:t>5</w:t>
            </w:r>
            <w:r>
              <w:rPr>
                <w:rFonts w:hint="eastAsia"/>
                <w:b/>
                <w:bCs/>
                <w:color w:val="auto"/>
                <w:highlight w:val="none"/>
              </w:rPr>
              <w:t xml:space="preserve">  项目周边环境噪声（昼间）监测结果</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007"/>
              <w:gridCol w:w="1709"/>
              <w:gridCol w:w="892"/>
              <w:gridCol w:w="1492"/>
              <w:gridCol w:w="1184"/>
              <w:gridCol w:w="1568"/>
            </w:tblGrid>
            <w:tr w14:paraId="00A383B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07" w:type="dxa"/>
                  <w:noWrap w:val="0"/>
                  <w:vAlign w:val="center"/>
                </w:tcPr>
                <w:p w14:paraId="62B101C4">
                  <w:pPr>
                    <w:keepNext w:val="0"/>
                    <w:keepLines w:val="0"/>
                    <w:suppressLineNumbers w:val="0"/>
                    <w:spacing w:before="0" w:beforeAutospacing="0" w:after="0" w:afterAutospacing="0" w:line="240" w:lineRule="auto"/>
                    <w:ind w:left="0" w:right="0"/>
                    <w:jc w:val="center"/>
                    <w:rPr>
                      <w:rFonts w:hint="default"/>
                      <w:b/>
                      <w:bCs/>
                      <w:color w:val="auto"/>
                      <w:highlight w:val="none"/>
                    </w:rPr>
                  </w:pPr>
                  <w:r>
                    <w:rPr>
                      <w:rFonts w:hint="eastAsia"/>
                      <w:b/>
                      <w:bCs/>
                      <w:color w:val="auto"/>
                      <w:highlight w:val="none"/>
                    </w:rPr>
                    <w:t>监测</w:t>
                  </w:r>
                  <w:r>
                    <w:rPr>
                      <w:rFonts w:hint="default"/>
                      <w:b/>
                      <w:bCs/>
                      <w:color w:val="auto"/>
                      <w:highlight w:val="none"/>
                    </w:rPr>
                    <w:t>日期</w:t>
                  </w:r>
                </w:p>
              </w:tc>
              <w:tc>
                <w:tcPr>
                  <w:tcW w:w="1709" w:type="dxa"/>
                  <w:noWrap w:val="0"/>
                  <w:vAlign w:val="center"/>
                </w:tcPr>
                <w:p w14:paraId="5478A4A9">
                  <w:pPr>
                    <w:keepNext w:val="0"/>
                    <w:keepLines w:val="0"/>
                    <w:suppressLineNumbers w:val="0"/>
                    <w:spacing w:before="0" w:beforeAutospacing="0" w:after="0" w:afterAutospacing="0" w:line="240" w:lineRule="auto"/>
                    <w:ind w:left="0" w:right="0"/>
                    <w:jc w:val="center"/>
                    <w:rPr>
                      <w:rFonts w:hint="default"/>
                      <w:b/>
                      <w:bCs/>
                      <w:color w:val="auto"/>
                      <w:highlight w:val="none"/>
                    </w:rPr>
                  </w:pPr>
                  <w:r>
                    <w:rPr>
                      <w:rFonts w:hint="default"/>
                      <w:b/>
                      <w:bCs/>
                      <w:color w:val="auto"/>
                      <w:highlight w:val="none"/>
                    </w:rPr>
                    <w:t>监测点位</w:t>
                  </w:r>
                </w:p>
              </w:tc>
              <w:tc>
                <w:tcPr>
                  <w:tcW w:w="892" w:type="dxa"/>
                  <w:noWrap w:val="0"/>
                  <w:vAlign w:val="center"/>
                </w:tcPr>
                <w:p w14:paraId="3B2E7809">
                  <w:pPr>
                    <w:keepNext w:val="0"/>
                    <w:keepLines w:val="0"/>
                    <w:suppressLineNumbers w:val="0"/>
                    <w:spacing w:before="0" w:beforeAutospacing="0" w:after="0" w:afterAutospacing="0" w:line="240" w:lineRule="auto"/>
                    <w:ind w:left="0" w:right="0"/>
                    <w:jc w:val="center"/>
                    <w:rPr>
                      <w:rFonts w:hint="default"/>
                      <w:b/>
                      <w:bCs/>
                      <w:color w:val="auto"/>
                      <w:highlight w:val="none"/>
                    </w:rPr>
                  </w:pPr>
                  <w:r>
                    <w:rPr>
                      <w:rFonts w:hint="default"/>
                      <w:b/>
                      <w:bCs/>
                      <w:color w:val="auto"/>
                      <w:highlight w:val="none"/>
                    </w:rPr>
                    <w:t>测点编号</w:t>
                  </w:r>
                </w:p>
              </w:tc>
              <w:tc>
                <w:tcPr>
                  <w:tcW w:w="1492" w:type="dxa"/>
                  <w:noWrap w:val="0"/>
                  <w:vAlign w:val="center"/>
                </w:tcPr>
                <w:p w14:paraId="754A54AD">
                  <w:pPr>
                    <w:keepNext w:val="0"/>
                    <w:keepLines w:val="0"/>
                    <w:suppressLineNumbers w:val="0"/>
                    <w:spacing w:before="0" w:beforeAutospacing="0" w:after="0" w:afterAutospacing="0" w:line="240" w:lineRule="auto"/>
                    <w:ind w:left="0" w:right="0"/>
                    <w:jc w:val="center"/>
                    <w:rPr>
                      <w:rFonts w:hint="default"/>
                      <w:b/>
                      <w:bCs/>
                      <w:color w:val="auto"/>
                      <w:highlight w:val="none"/>
                    </w:rPr>
                  </w:pPr>
                  <w:r>
                    <w:rPr>
                      <w:rFonts w:hint="default"/>
                      <w:b/>
                      <w:bCs/>
                      <w:color w:val="auto"/>
                      <w:highlight w:val="none"/>
                    </w:rPr>
                    <w:t>主要声源</w:t>
                  </w:r>
                </w:p>
              </w:tc>
              <w:tc>
                <w:tcPr>
                  <w:tcW w:w="1184" w:type="dxa"/>
                  <w:noWrap w:val="0"/>
                  <w:vAlign w:val="center"/>
                </w:tcPr>
                <w:p w14:paraId="15E50627">
                  <w:pPr>
                    <w:keepNext w:val="0"/>
                    <w:keepLines w:val="0"/>
                    <w:suppressLineNumbers w:val="0"/>
                    <w:spacing w:before="0" w:beforeAutospacing="0" w:after="0" w:afterAutospacing="0" w:line="240" w:lineRule="auto"/>
                    <w:ind w:left="0" w:right="0"/>
                    <w:jc w:val="center"/>
                    <w:rPr>
                      <w:rFonts w:hint="default"/>
                      <w:b/>
                      <w:bCs/>
                      <w:color w:val="auto"/>
                      <w:highlight w:val="none"/>
                    </w:rPr>
                  </w:pPr>
                  <w:r>
                    <w:rPr>
                      <w:rFonts w:hint="default"/>
                      <w:b/>
                      <w:bCs/>
                      <w:color w:val="auto"/>
                      <w:highlight w:val="none"/>
                    </w:rPr>
                    <w:t>测量时段</w:t>
                  </w:r>
                </w:p>
              </w:tc>
              <w:tc>
                <w:tcPr>
                  <w:tcW w:w="1568" w:type="dxa"/>
                  <w:noWrap w:val="0"/>
                  <w:vAlign w:val="center"/>
                </w:tcPr>
                <w:p w14:paraId="10DF9BF0">
                  <w:pPr>
                    <w:keepNext w:val="0"/>
                    <w:keepLines w:val="0"/>
                    <w:suppressLineNumbers w:val="0"/>
                    <w:spacing w:before="0" w:beforeAutospacing="0" w:after="0" w:afterAutospacing="0" w:line="240" w:lineRule="auto"/>
                    <w:ind w:left="0" w:right="0"/>
                    <w:jc w:val="center"/>
                    <w:rPr>
                      <w:rFonts w:hint="default"/>
                      <w:b/>
                      <w:bCs/>
                      <w:color w:val="auto"/>
                      <w:highlight w:val="none"/>
                    </w:rPr>
                  </w:pPr>
                  <w:r>
                    <w:rPr>
                      <w:rFonts w:hint="eastAsia"/>
                      <w:b/>
                      <w:bCs/>
                      <w:color w:val="auto"/>
                      <w:highlight w:val="none"/>
                    </w:rPr>
                    <w:t>测量修约值</w:t>
                  </w:r>
                  <w:r>
                    <w:rPr>
                      <w:rFonts w:hint="default"/>
                      <w:b/>
                      <w:bCs/>
                      <w:color w:val="auto"/>
                      <w:highlight w:val="none"/>
                    </w:rPr>
                    <w:t xml:space="preserve"> Leq</w:t>
                  </w:r>
                </w:p>
              </w:tc>
            </w:tr>
            <w:tr w14:paraId="7DC0FAA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07" w:type="dxa"/>
                  <w:vMerge w:val="restart"/>
                  <w:noWrap w:val="0"/>
                  <w:vAlign w:val="center"/>
                </w:tcPr>
                <w:p w14:paraId="65248686">
                  <w:pPr>
                    <w:keepNext w:val="0"/>
                    <w:keepLines w:val="0"/>
                    <w:suppressLineNumbers w:val="0"/>
                    <w:spacing w:before="0" w:beforeAutospacing="0" w:after="0" w:afterAutospacing="0" w:line="240" w:lineRule="auto"/>
                    <w:ind w:left="0" w:right="0"/>
                    <w:jc w:val="center"/>
                    <w:rPr>
                      <w:rFonts w:hint="eastAsia" w:eastAsia="宋体"/>
                      <w:color w:val="auto"/>
                      <w:highlight w:val="none"/>
                      <w:lang w:eastAsia="zh-CN"/>
                    </w:rPr>
                  </w:pPr>
                  <w:r>
                    <w:rPr>
                      <w:rFonts w:hint="default"/>
                      <w:color w:val="auto"/>
                      <w:highlight w:val="none"/>
                    </w:rPr>
                    <w:t>20</w:t>
                  </w:r>
                  <w:r>
                    <w:rPr>
                      <w:rFonts w:hint="eastAsia"/>
                      <w:color w:val="auto"/>
                      <w:highlight w:val="none"/>
                    </w:rPr>
                    <w:t>2</w:t>
                  </w:r>
                  <w:r>
                    <w:rPr>
                      <w:rFonts w:hint="eastAsia"/>
                      <w:color w:val="auto"/>
                      <w:highlight w:val="none"/>
                      <w:lang w:val="en-US" w:eastAsia="zh-CN"/>
                    </w:rPr>
                    <w:t>5</w:t>
                  </w:r>
                  <w:r>
                    <w:rPr>
                      <w:rFonts w:hint="eastAsia"/>
                      <w:color w:val="auto"/>
                      <w:highlight w:val="none"/>
                    </w:rPr>
                    <w:t>.1.</w:t>
                  </w:r>
                  <w:r>
                    <w:rPr>
                      <w:rFonts w:hint="eastAsia"/>
                      <w:color w:val="auto"/>
                      <w:highlight w:val="none"/>
                      <w:lang w:val="en-US" w:eastAsia="zh-CN"/>
                    </w:rPr>
                    <w:t>6</w:t>
                  </w:r>
                </w:p>
              </w:tc>
              <w:tc>
                <w:tcPr>
                  <w:tcW w:w="1709" w:type="dxa"/>
                  <w:noWrap w:val="0"/>
                  <w:vAlign w:val="center"/>
                </w:tcPr>
                <w:p w14:paraId="57FDDB3B">
                  <w:pPr>
                    <w:keepNext w:val="0"/>
                    <w:keepLines w:val="0"/>
                    <w:suppressLineNumbers w:val="0"/>
                    <w:spacing w:before="93" w:beforeLines="30" w:beforeAutospacing="0" w:after="93" w:afterLines="30" w:afterAutospacing="0" w:line="240" w:lineRule="auto"/>
                    <w:ind w:left="0" w:right="0"/>
                    <w:jc w:val="center"/>
                    <w:rPr>
                      <w:rFonts w:hint="eastAsia" w:ascii="Times New Roman" w:hAnsi="Times New Roman" w:eastAsia="宋体" w:cs="Times New Roman"/>
                      <w:kern w:val="2"/>
                      <w:sz w:val="21"/>
                      <w:szCs w:val="21"/>
                      <w:lang w:val="en-US" w:eastAsia="zh-CN" w:bidi="ar-SA"/>
                    </w:rPr>
                  </w:pPr>
                  <w:r>
                    <w:rPr>
                      <w:rFonts w:hint="default"/>
                      <w:szCs w:val="21"/>
                    </w:rPr>
                    <w:t>厂界北侧</w:t>
                  </w:r>
                </w:p>
              </w:tc>
              <w:tc>
                <w:tcPr>
                  <w:tcW w:w="892" w:type="dxa"/>
                  <w:noWrap w:val="0"/>
                  <w:vAlign w:val="center"/>
                </w:tcPr>
                <w:p w14:paraId="1E9C3150">
                  <w:pPr>
                    <w:keepNext w:val="0"/>
                    <w:keepLines w:val="0"/>
                    <w:suppressLineNumbers w:val="0"/>
                    <w:spacing w:before="93" w:beforeLines="30" w:beforeAutospacing="0" w:after="93" w:afterLines="3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Cambria Math" w:hAnsi="Cambria Math" w:cs="Cambria Math"/>
                    </w:rPr>
                    <w:t>△</w:t>
                  </w:r>
                  <w:r>
                    <w:rPr>
                      <w:rFonts w:hint="eastAsia"/>
                    </w:rPr>
                    <w:t>1</w:t>
                  </w:r>
                  <w:r>
                    <w:rPr>
                      <w:rFonts w:hint="default"/>
                      <w:vertAlign w:val="superscript"/>
                    </w:rPr>
                    <w:t>#</w:t>
                  </w:r>
                </w:p>
              </w:tc>
              <w:tc>
                <w:tcPr>
                  <w:tcW w:w="1492" w:type="dxa"/>
                  <w:noWrap w:val="0"/>
                  <w:vAlign w:val="center"/>
                </w:tcPr>
                <w:p w14:paraId="0BEE7ABA">
                  <w:pPr>
                    <w:keepNext w:val="0"/>
                    <w:keepLines w:val="0"/>
                    <w:suppressLineNumbers w:val="0"/>
                    <w:spacing w:before="93" w:beforeLines="30" w:beforeAutospacing="0" w:after="93" w:afterLines="3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eastAsia"/>
                      <w:szCs w:val="21"/>
                    </w:rPr>
                    <w:t>环境</w:t>
                  </w:r>
                  <w:r>
                    <w:rPr>
                      <w:rFonts w:hint="default"/>
                      <w:szCs w:val="21"/>
                    </w:rPr>
                    <w:t>噪声</w:t>
                  </w:r>
                </w:p>
              </w:tc>
              <w:tc>
                <w:tcPr>
                  <w:tcW w:w="1184" w:type="dxa"/>
                  <w:noWrap w:val="0"/>
                  <w:vAlign w:val="center"/>
                </w:tcPr>
                <w:p w14:paraId="70007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4"/>
                      <w:lang w:val="en-US" w:eastAsia="zh-CN" w:bidi="ar-SA"/>
                    </w:rPr>
                  </w:pPr>
                </w:p>
              </w:tc>
              <w:tc>
                <w:tcPr>
                  <w:tcW w:w="1568" w:type="dxa"/>
                  <w:noWrap w:val="0"/>
                  <w:vAlign w:val="center"/>
                </w:tcPr>
                <w:p w14:paraId="0F9B0AE1">
                  <w:pPr>
                    <w:keepNext w:val="0"/>
                    <w:keepLines w:val="0"/>
                    <w:suppressLineNumbers w:val="0"/>
                    <w:spacing w:before="72" w:beforeLines="30" w:beforeAutospacing="0" w:after="72" w:afterLines="30" w:afterAutospacing="0" w:line="240" w:lineRule="auto"/>
                    <w:ind w:left="0" w:right="0"/>
                    <w:jc w:val="center"/>
                    <w:rPr>
                      <w:rFonts w:hint="default" w:eastAsia="宋体"/>
                      <w:color w:val="auto"/>
                      <w:highlight w:val="none"/>
                      <w:lang w:val="en-US" w:eastAsia="zh-CN"/>
                    </w:rPr>
                  </w:pPr>
                </w:p>
              </w:tc>
            </w:tr>
            <w:tr w14:paraId="4E91FEC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07" w:type="dxa"/>
                  <w:vMerge w:val="continue"/>
                  <w:noWrap w:val="0"/>
                  <w:vAlign w:val="center"/>
                </w:tcPr>
                <w:p w14:paraId="2DFA6B98">
                  <w:pPr>
                    <w:keepNext w:val="0"/>
                    <w:keepLines w:val="0"/>
                    <w:suppressLineNumbers w:val="0"/>
                    <w:spacing w:before="0" w:beforeAutospacing="0" w:after="0" w:afterAutospacing="0" w:line="240" w:lineRule="auto"/>
                    <w:ind w:left="0" w:right="0"/>
                    <w:jc w:val="center"/>
                    <w:rPr>
                      <w:rFonts w:hint="default"/>
                      <w:color w:val="auto"/>
                      <w:highlight w:val="none"/>
                    </w:rPr>
                  </w:pPr>
                </w:p>
              </w:tc>
              <w:tc>
                <w:tcPr>
                  <w:tcW w:w="1709" w:type="dxa"/>
                  <w:noWrap w:val="0"/>
                  <w:vAlign w:val="center"/>
                </w:tcPr>
                <w:p w14:paraId="5BF34719">
                  <w:pPr>
                    <w:keepNext w:val="0"/>
                    <w:keepLines w:val="0"/>
                    <w:suppressLineNumbers w:val="0"/>
                    <w:spacing w:before="93" w:beforeLines="30" w:beforeAutospacing="0" w:after="93" w:afterLines="30" w:afterAutospacing="0" w:line="240" w:lineRule="auto"/>
                    <w:ind w:left="0" w:right="0"/>
                    <w:jc w:val="center"/>
                    <w:rPr>
                      <w:rFonts w:hint="eastAsia" w:ascii="Times New Roman" w:hAnsi="Times New Roman" w:eastAsia="宋体" w:cs="Times New Roman"/>
                      <w:kern w:val="2"/>
                      <w:sz w:val="21"/>
                      <w:szCs w:val="24"/>
                      <w:lang w:val="en-US" w:eastAsia="zh-CN" w:bidi="ar-SA"/>
                    </w:rPr>
                  </w:pPr>
                  <w:r>
                    <w:rPr>
                      <w:rFonts w:hint="default"/>
                      <w:szCs w:val="21"/>
                    </w:rPr>
                    <w:t>厂界</w:t>
                  </w:r>
                  <w:r>
                    <w:rPr>
                      <w:rFonts w:hint="eastAsia"/>
                      <w:szCs w:val="21"/>
                    </w:rPr>
                    <w:t>南</w:t>
                  </w:r>
                  <w:r>
                    <w:rPr>
                      <w:rFonts w:hint="default"/>
                      <w:szCs w:val="21"/>
                    </w:rPr>
                    <w:t>侧</w:t>
                  </w:r>
                </w:p>
              </w:tc>
              <w:tc>
                <w:tcPr>
                  <w:tcW w:w="892" w:type="dxa"/>
                  <w:noWrap w:val="0"/>
                  <w:vAlign w:val="center"/>
                </w:tcPr>
                <w:p w14:paraId="74512475">
                  <w:pPr>
                    <w:keepNext w:val="0"/>
                    <w:keepLines w:val="0"/>
                    <w:suppressLineNumbers w:val="0"/>
                    <w:spacing w:before="93" w:beforeLines="30" w:beforeAutospacing="0" w:after="93" w:afterLines="3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Cambria Math" w:hAnsi="Cambria Math" w:cs="Cambria Math"/>
                    </w:rPr>
                    <w:t>△</w:t>
                  </w:r>
                  <w:r>
                    <w:rPr>
                      <w:rFonts w:hint="eastAsia"/>
                    </w:rPr>
                    <w:t>2</w:t>
                  </w:r>
                  <w:r>
                    <w:rPr>
                      <w:rFonts w:hint="default"/>
                      <w:vertAlign w:val="superscript"/>
                    </w:rPr>
                    <w:t>#</w:t>
                  </w:r>
                </w:p>
              </w:tc>
              <w:tc>
                <w:tcPr>
                  <w:tcW w:w="1492" w:type="dxa"/>
                  <w:noWrap w:val="0"/>
                  <w:vAlign w:val="center"/>
                </w:tcPr>
                <w:p w14:paraId="7F9B3C19">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kern w:val="2"/>
                      <w:sz w:val="21"/>
                      <w:szCs w:val="24"/>
                      <w:lang w:val="en-US" w:eastAsia="zh-CN" w:bidi="ar-SA"/>
                    </w:rPr>
                  </w:pPr>
                  <w:r>
                    <w:rPr>
                      <w:rFonts w:hint="eastAsia"/>
                      <w:szCs w:val="21"/>
                    </w:rPr>
                    <w:t>机械</w:t>
                  </w:r>
                  <w:r>
                    <w:rPr>
                      <w:rFonts w:hint="default"/>
                      <w:szCs w:val="21"/>
                    </w:rPr>
                    <w:t>噪声</w:t>
                  </w:r>
                </w:p>
              </w:tc>
              <w:tc>
                <w:tcPr>
                  <w:tcW w:w="1184" w:type="dxa"/>
                  <w:noWrap w:val="0"/>
                  <w:vAlign w:val="center"/>
                </w:tcPr>
                <w:p w14:paraId="1078EC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kern w:val="2"/>
                      <w:sz w:val="21"/>
                      <w:szCs w:val="24"/>
                      <w:lang w:val="en-US" w:eastAsia="zh-CN" w:bidi="ar-SA"/>
                    </w:rPr>
                  </w:pPr>
                </w:p>
              </w:tc>
              <w:tc>
                <w:tcPr>
                  <w:tcW w:w="1568" w:type="dxa"/>
                  <w:noWrap w:val="0"/>
                  <w:vAlign w:val="center"/>
                </w:tcPr>
                <w:p w14:paraId="6455B939">
                  <w:pPr>
                    <w:keepNext w:val="0"/>
                    <w:keepLines w:val="0"/>
                    <w:suppressLineNumbers w:val="0"/>
                    <w:spacing w:before="72" w:beforeLines="30" w:beforeAutospacing="0" w:after="72" w:afterLines="30" w:afterAutospacing="0" w:line="240" w:lineRule="auto"/>
                    <w:ind w:left="0" w:right="0"/>
                    <w:jc w:val="center"/>
                    <w:rPr>
                      <w:rFonts w:hint="default" w:eastAsia="宋体"/>
                      <w:color w:val="auto"/>
                      <w:highlight w:val="none"/>
                      <w:lang w:val="en-US" w:eastAsia="zh-CN"/>
                    </w:rPr>
                  </w:pPr>
                </w:p>
              </w:tc>
            </w:tr>
            <w:tr w14:paraId="36E7C68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07" w:type="dxa"/>
                  <w:vMerge w:val="continue"/>
                  <w:noWrap w:val="0"/>
                  <w:vAlign w:val="center"/>
                </w:tcPr>
                <w:p w14:paraId="6B7966B2">
                  <w:pPr>
                    <w:keepNext w:val="0"/>
                    <w:keepLines w:val="0"/>
                    <w:suppressLineNumbers w:val="0"/>
                    <w:spacing w:before="0" w:beforeAutospacing="0" w:after="0" w:afterAutospacing="0" w:line="240" w:lineRule="auto"/>
                    <w:ind w:left="0" w:right="0"/>
                    <w:jc w:val="center"/>
                    <w:rPr>
                      <w:rFonts w:hint="default"/>
                      <w:color w:val="auto"/>
                      <w:highlight w:val="none"/>
                    </w:rPr>
                  </w:pPr>
                </w:p>
              </w:tc>
              <w:tc>
                <w:tcPr>
                  <w:tcW w:w="1709" w:type="dxa"/>
                  <w:noWrap w:val="0"/>
                  <w:vAlign w:val="center"/>
                </w:tcPr>
                <w:p w14:paraId="535A9D64">
                  <w:pPr>
                    <w:keepNext w:val="0"/>
                    <w:keepLines w:val="0"/>
                    <w:suppressLineNumbers w:val="0"/>
                    <w:spacing w:before="93" w:beforeLines="30" w:beforeAutospacing="0" w:after="93" w:afterLines="30" w:afterAutospacing="0" w:line="240" w:lineRule="auto"/>
                    <w:ind w:left="0" w:right="0"/>
                    <w:jc w:val="center"/>
                    <w:rPr>
                      <w:rFonts w:hint="eastAsia" w:ascii="Times New Roman" w:hAnsi="Times New Roman" w:eastAsia="宋体" w:cs="Times New Roman"/>
                      <w:kern w:val="2"/>
                      <w:sz w:val="21"/>
                      <w:szCs w:val="21"/>
                      <w:lang w:val="en-US" w:eastAsia="zh-CN" w:bidi="ar-SA"/>
                    </w:rPr>
                  </w:pPr>
                  <w:r>
                    <w:rPr>
                      <w:rFonts w:hint="default"/>
                      <w:szCs w:val="21"/>
                    </w:rPr>
                    <w:t>厂界</w:t>
                  </w:r>
                  <w:r>
                    <w:rPr>
                      <w:rFonts w:hint="eastAsia"/>
                      <w:szCs w:val="21"/>
                    </w:rPr>
                    <w:t>东北</w:t>
                  </w:r>
                  <w:r>
                    <w:rPr>
                      <w:rFonts w:hint="default"/>
                      <w:szCs w:val="21"/>
                    </w:rPr>
                    <w:t>侧</w:t>
                  </w:r>
                </w:p>
              </w:tc>
              <w:tc>
                <w:tcPr>
                  <w:tcW w:w="892" w:type="dxa"/>
                  <w:noWrap w:val="0"/>
                  <w:vAlign w:val="center"/>
                </w:tcPr>
                <w:p w14:paraId="794F4DF7">
                  <w:pPr>
                    <w:keepNext w:val="0"/>
                    <w:keepLines w:val="0"/>
                    <w:suppressLineNumbers w:val="0"/>
                    <w:spacing w:before="93" w:beforeLines="30" w:beforeAutospacing="0" w:after="93" w:afterLines="30" w:afterAutospacing="0" w:line="240" w:lineRule="auto"/>
                    <w:ind w:left="0" w:right="0"/>
                    <w:jc w:val="center"/>
                    <w:rPr>
                      <w:rFonts w:hint="default" w:ascii="Times New Roman" w:hAnsi="Times New Roman" w:eastAsia="宋体" w:cs="Times New Roman"/>
                      <w:kern w:val="2"/>
                      <w:sz w:val="21"/>
                      <w:szCs w:val="24"/>
                      <w:lang w:val="en-US" w:eastAsia="zh-CN" w:bidi="ar-SA"/>
                    </w:rPr>
                  </w:pPr>
                  <w:r>
                    <w:rPr>
                      <w:rFonts w:hint="default" w:ascii="Cambria Math" w:hAnsi="Cambria Math" w:cs="Cambria Math"/>
                    </w:rPr>
                    <w:t>△</w:t>
                  </w:r>
                  <w:r>
                    <w:rPr>
                      <w:rFonts w:hint="eastAsia" w:ascii="Cambria Math" w:hAnsi="Cambria Math" w:cs="Cambria Math"/>
                    </w:rPr>
                    <w:t>M</w:t>
                  </w:r>
                  <w:r>
                    <w:rPr>
                      <w:rFonts w:hint="eastAsia"/>
                    </w:rPr>
                    <w:t>1</w:t>
                  </w:r>
                  <w:r>
                    <w:rPr>
                      <w:rFonts w:hint="default"/>
                      <w:vertAlign w:val="superscript"/>
                    </w:rPr>
                    <w:t>#</w:t>
                  </w:r>
                </w:p>
              </w:tc>
              <w:tc>
                <w:tcPr>
                  <w:tcW w:w="1492" w:type="dxa"/>
                  <w:noWrap w:val="0"/>
                  <w:vAlign w:val="center"/>
                </w:tcPr>
                <w:p w14:paraId="30B93FBA">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kern w:val="2"/>
                      <w:sz w:val="21"/>
                      <w:szCs w:val="24"/>
                      <w:lang w:val="en-US" w:eastAsia="zh-CN" w:bidi="ar-SA"/>
                    </w:rPr>
                  </w:pPr>
                  <w:r>
                    <w:rPr>
                      <w:rFonts w:hint="eastAsia"/>
                      <w:szCs w:val="21"/>
                    </w:rPr>
                    <w:t>环境</w:t>
                  </w:r>
                  <w:r>
                    <w:rPr>
                      <w:rFonts w:hint="default"/>
                      <w:szCs w:val="21"/>
                    </w:rPr>
                    <w:t>噪声</w:t>
                  </w:r>
                </w:p>
              </w:tc>
              <w:tc>
                <w:tcPr>
                  <w:tcW w:w="1184" w:type="dxa"/>
                  <w:noWrap w:val="0"/>
                  <w:vAlign w:val="center"/>
                </w:tcPr>
                <w:p w14:paraId="2312B0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kern w:val="2"/>
                      <w:sz w:val="21"/>
                      <w:szCs w:val="24"/>
                      <w:lang w:val="en-US" w:eastAsia="zh-CN" w:bidi="ar-SA"/>
                    </w:rPr>
                  </w:pPr>
                </w:p>
              </w:tc>
              <w:tc>
                <w:tcPr>
                  <w:tcW w:w="1568" w:type="dxa"/>
                  <w:noWrap w:val="0"/>
                  <w:vAlign w:val="center"/>
                </w:tcPr>
                <w:p w14:paraId="4D404F09">
                  <w:pPr>
                    <w:keepNext w:val="0"/>
                    <w:keepLines w:val="0"/>
                    <w:suppressLineNumbers w:val="0"/>
                    <w:spacing w:before="72" w:beforeLines="30" w:beforeAutospacing="0" w:after="72" w:afterLines="30" w:afterAutospacing="0" w:line="240" w:lineRule="auto"/>
                    <w:ind w:left="0" w:right="0"/>
                    <w:jc w:val="center"/>
                    <w:rPr>
                      <w:rFonts w:hint="default" w:eastAsia="宋体"/>
                      <w:color w:val="auto"/>
                      <w:highlight w:val="none"/>
                      <w:lang w:val="en-US" w:eastAsia="zh-CN"/>
                    </w:rPr>
                  </w:pPr>
                </w:p>
              </w:tc>
            </w:tr>
            <w:tr w14:paraId="5F4023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07" w:type="dxa"/>
                  <w:noWrap w:val="0"/>
                  <w:vAlign w:val="center"/>
                </w:tcPr>
                <w:p w14:paraId="6A7B3028">
                  <w:pPr>
                    <w:keepNext w:val="0"/>
                    <w:keepLines w:val="0"/>
                    <w:suppressLineNumbers w:val="0"/>
                    <w:spacing w:before="0" w:beforeAutospacing="0" w:after="0" w:afterAutospacing="0" w:line="240" w:lineRule="auto"/>
                    <w:ind w:left="0" w:right="0"/>
                    <w:jc w:val="center"/>
                    <w:rPr>
                      <w:rFonts w:hint="default"/>
                      <w:color w:val="auto"/>
                      <w:sz w:val="18"/>
                      <w:szCs w:val="18"/>
                      <w:highlight w:val="none"/>
                    </w:rPr>
                  </w:pPr>
                  <w:r>
                    <w:rPr>
                      <w:rFonts w:hint="default"/>
                      <w:color w:val="auto"/>
                      <w:sz w:val="18"/>
                      <w:szCs w:val="18"/>
                      <w:highlight w:val="none"/>
                    </w:rPr>
                    <w:t>备  注</w:t>
                  </w:r>
                </w:p>
              </w:tc>
              <w:tc>
                <w:tcPr>
                  <w:tcW w:w="6845" w:type="dxa"/>
                  <w:gridSpan w:val="5"/>
                  <w:noWrap w:val="0"/>
                  <w:vAlign w:val="top"/>
                </w:tcPr>
                <w:p w14:paraId="7F1B29A2">
                  <w:pPr>
                    <w:keepNext w:val="0"/>
                    <w:keepLines w:val="0"/>
                    <w:suppressLineNumbers w:val="0"/>
                    <w:spacing w:before="0" w:beforeAutospacing="0" w:after="0" w:afterAutospacing="0" w:line="240" w:lineRule="auto"/>
                    <w:ind w:left="0" w:right="0"/>
                    <w:rPr>
                      <w:rFonts w:hint="default"/>
                      <w:color w:val="auto"/>
                      <w:sz w:val="18"/>
                      <w:szCs w:val="18"/>
                      <w:highlight w:val="none"/>
                    </w:rPr>
                  </w:pPr>
                  <w:r>
                    <w:rPr>
                      <w:rFonts w:hint="default"/>
                      <w:color w:val="auto"/>
                      <w:sz w:val="18"/>
                      <w:szCs w:val="18"/>
                      <w:highlight w:val="none"/>
                    </w:rPr>
                    <w:t>1.监测期间气象情况：晴天，风速1.6m/s；</w:t>
                  </w:r>
                </w:p>
                <w:p w14:paraId="446B64EB">
                  <w:pPr>
                    <w:keepNext w:val="0"/>
                    <w:keepLines w:val="0"/>
                    <w:suppressLineNumbers w:val="0"/>
                    <w:spacing w:before="0" w:beforeAutospacing="0" w:after="0" w:afterAutospacing="0" w:line="240" w:lineRule="auto"/>
                    <w:ind w:left="0" w:right="0"/>
                    <w:rPr>
                      <w:rFonts w:hint="default"/>
                      <w:color w:val="auto"/>
                      <w:sz w:val="18"/>
                      <w:szCs w:val="18"/>
                      <w:highlight w:val="none"/>
                    </w:rPr>
                  </w:pPr>
                  <w:r>
                    <w:rPr>
                      <w:rFonts w:hint="default"/>
                      <w:color w:val="auto"/>
                      <w:sz w:val="18"/>
                      <w:szCs w:val="18"/>
                      <w:highlight w:val="none"/>
                    </w:rPr>
                    <w:t>2.监测点位见示意图。</w:t>
                  </w:r>
                </w:p>
              </w:tc>
            </w:tr>
          </w:tbl>
          <w:p w14:paraId="01D9F6B7">
            <w:pPr>
              <w:pStyle w:val="24"/>
              <w:keepNext w:val="0"/>
              <w:keepLines w:val="0"/>
              <w:suppressLineNumbers w:val="0"/>
              <w:spacing w:before="0" w:beforeAutospacing="0" w:after="0"/>
              <w:ind w:right="0" w:firstLine="420" w:firstLineChars="200"/>
              <w:jc w:val="both"/>
              <w:rPr>
                <w:rFonts w:hint="default"/>
                <w:color w:val="auto"/>
                <w:sz w:val="21"/>
                <w:szCs w:val="21"/>
                <w:highlight w:val="none"/>
              </w:rPr>
            </w:pPr>
            <w:r>
              <w:rPr>
                <w:rFonts w:hint="eastAsia" w:cs="宋体"/>
                <w:color w:val="auto"/>
                <w:kern w:val="0"/>
                <w:sz w:val="21"/>
                <w:szCs w:val="21"/>
                <w:highlight w:val="none"/>
              </w:rPr>
              <w:t>根据</w:t>
            </w:r>
            <w:r>
              <w:rPr>
                <w:rFonts w:hint="eastAsia" w:cs="宋体"/>
                <w:b/>
                <w:bCs/>
                <w:color w:val="auto"/>
                <w:kern w:val="0"/>
                <w:sz w:val="21"/>
                <w:szCs w:val="21"/>
                <w:highlight w:val="none"/>
              </w:rPr>
              <w:t>表3-</w:t>
            </w:r>
            <w:r>
              <w:rPr>
                <w:rFonts w:hint="eastAsia" w:cs="宋体"/>
                <w:b/>
                <w:bCs/>
                <w:color w:val="auto"/>
                <w:kern w:val="0"/>
                <w:sz w:val="21"/>
                <w:szCs w:val="21"/>
                <w:highlight w:val="none"/>
                <w:lang w:val="en-US" w:eastAsia="zh-CN"/>
              </w:rPr>
              <w:t>5</w:t>
            </w:r>
            <w:r>
              <w:rPr>
                <w:rFonts w:hint="eastAsia" w:cs="宋体"/>
                <w:color w:val="auto"/>
                <w:kern w:val="0"/>
                <w:sz w:val="21"/>
                <w:szCs w:val="21"/>
                <w:highlight w:val="none"/>
              </w:rPr>
              <w:t>监测结果可知，目前项目厂界昼间环境噪声可达《声环境质量标准》（GB3096-2008）3类区标准，即昼间</w:t>
            </w:r>
            <w:r>
              <w:rPr>
                <w:rFonts w:hint="default"/>
                <w:color w:val="auto"/>
                <w:kern w:val="0"/>
                <w:sz w:val="21"/>
                <w:szCs w:val="21"/>
                <w:highlight w:val="none"/>
              </w:rPr>
              <w:t>≤</w:t>
            </w:r>
            <w:r>
              <w:rPr>
                <w:rFonts w:hint="eastAsia" w:cs="宋体"/>
                <w:color w:val="auto"/>
                <w:kern w:val="0"/>
                <w:sz w:val="21"/>
                <w:szCs w:val="21"/>
                <w:highlight w:val="none"/>
              </w:rPr>
              <w:t>65dB(A)；厂界</w:t>
            </w:r>
            <w:r>
              <w:rPr>
                <w:rFonts w:hint="eastAsia"/>
                <w:color w:val="auto"/>
                <w:sz w:val="21"/>
                <w:szCs w:val="21"/>
                <w:highlight w:val="none"/>
              </w:rPr>
              <w:t>东</w:t>
            </w:r>
            <w:r>
              <w:rPr>
                <w:rFonts w:hint="eastAsia"/>
                <w:color w:val="auto"/>
                <w:sz w:val="21"/>
                <w:szCs w:val="21"/>
                <w:highlight w:val="none"/>
                <w:lang w:val="en-US" w:eastAsia="zh-CN"/>
              </w:rPr>
              <w:t>北</w:t>
            </w:r>
            <w:r>
              <w:rPr>
                <w:rFonts w:hint="eastAsia"/>
                <w:color w:val="auto"/>
                <w:sz w:val="21"/>
                <w:szCs w:val="21"/>
                <w:highlight w:val="none"/>
              </w:rPr>
              <w:t>侧敏感点</w:t>
            </w:r>
            <w:r>
              <w:rPr>
                <w:rFonts w:hint="default"/>
                <w:color w:val="auto"/>
                <w:sz w:val="21"/>
                <w:szCs w:val="21"/>
                <w:highlight w:val="none"/>
              </w:rPr>
              <w:t>执行《声环境质量标准》（GB3096-2008）的</w:t>
            </w:r>
            <w:r>
              <w:rPr>
                <w:rFonts w:hint="eastAsia"/>
                <w:color w:val="auto"/>
                <w:sz w:val="21"/>
                <w:szCs w:val="21"/>
                <w:highlight w:val="none"/>
              </w:rPr>
              <w:t>2</w:t>
            </w:r>
            <w:r>
              <w:rPr>
                <w:rFonts w:hint="default"/>
                <w:color w:val="auto"/>
                <w:sz w:val="21"/>
                <w:szCs w:val="21"/>
                <w:highlight w:val="none"/>
              </w:rPr>
              <w:t>类区标准，即昼间环境噪声≤</w:t>
            </w:r>
            <w:r>
              <w:rPr>
                <w:rFonts w:hint="eastAsia"/>
                <w:color w:val="auto"/>
                <w:sz w:val="21"/>
                <w:szCs w:val="21"/>
                <w:highlight w:val="none"/>
              </w:rPr>
              <w:t>60</w:t>
            </w:r>
            <w:r>
              <w:rPr>
                <w:rFonts w:hint="default"/>
                <w:color w:val="auto"/>
                <w:sz w:val="21"/>
                <w:szCs w:val="21"/>
                <w:highlight w:val="none"/>
              </w:rPr>
              <w:t>dB(A)，</w:t>
            </w:r>
            <w:r>
              <w:rPr>
                <w:rFonts w:hint="eastAsia" w:cs="宋体"/>
                <w:color w:val="auto"/>
                <w:kern w:val="0"/>
                <w:sz w:val="21"/>
                <w:szCs w:val="21"/>
                <w:highlight w:val="none"/>
              </w:rPr>
              <w:t>项目夜间不生产，对周围环境产生影响较小。</w:t>
            </w:r>
          </w:p>
          <w:p w14:paraId="509FD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outlineLvl w:val="9"/>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w:t>
            </w:r>
            <w:r>
              <w:rPr>
                <w:rFonts w:hint="default" w:ascii="Times New Roman" w:hAnsi="Times New Roman" w:eastAsia="宋体" w:cs="Times New Roman"/>
                <w:b/>
                <w:bCs/>
                <w:color w:val="000000"/>
                <w:sz w:val="21"/>
                <w:szCs w:val="21"/>
                <w:lang w:val="en-US" w:eastAsia="zh-CN"/>
              </w:rPr>
              <w:t>4</w:t>
            </w:r>
            <w:r>
              <w:rPr>
                <w:rFonts w:hint="default" w:ascii="Times New Roman" w:hAnsi="Times New Roman" w:eastAsia="宋体" w:cs="Times New Roman"/>
                <w:b/>
                <w:bCs/>
                <w:color w:val="000000"/>
                <w:sz w:val="21"/>
                <w:szCs w:val="21"/>
                <w:lang w:eastAsia="zh-CN"/>
              </w:rPr>
              <w:t>）土壤和地下水环境调查</w:t>
            </w:r>
          </w:p>
          <w:p w14:paraId="3B66FE7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项目</w:t>
            </w:r>
            <w:r>
              <w:rPr>
                <w:rFonts w:hint="default" w:ascii="Times New Roman" w:hAnsi="Times New Roman" w:eastAsia="宋体" w:cs="Times New Roman"/>
                <w:color w:val="000000"/>
                <w:sz w:val="21"/>
                <w:szCs w:val="21"/>
                <w:highlight w:val="none"/>
              </w:rPr>
              <w:t>所在场地均采用水泥硬化</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lang w:val="en-US" w:eastAsia="zh-CN"/>
              </w:rPr>
              <w:t>不存在土壤、地下水环境污染途径，故根据</w:t>
            </w:r>
            <w:r>
              <w:rPr>
                <w:rFonts w:hint="eastAsia" w:ascii="宋体" w:hAnsi="宋体" w:eastAsia="宋体" w:cs="宋体"/>
                <w:color w:val="000000"/>
                <w:sz w:val="21"/>
                <w:szCs w:val="21"/>
                <w:lang w:val="en-US" w:eastAsia="zh-CN"/>
              </w:rPr>
              <w:t>“关于印发《建设项目环境影响报告表》内容、格式及编制技术指南的通知”</w:t>
            </w:r>
            <w:r>
              <w:rPr>
                <w:rFonts w:hint="default" w:ascii="Times New Roman" w:hAnsi="Times New Roman" w:eastAsia="宋体" w:cs="Times New Roman"/>
                <w:color w:val="000000"/>
                <w:sz w:val="21"/>
                <w:szCs w:val="21"/>
                <w:lang w:val="en-US" w:eastAsia="zh-CN"/>
              </w:rPr>
              <w:t>（环办环评【2020】33号），原则上不开展土壤和地下水环境现状调查。</w:t>
            </w:r>
          </w:p>
          <w:p w14:paraId="33B6D6A2">
            <w:pPr>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right="0" w:firstLine="422" w:firstLineChars="200"/>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生态环境</w:t>
            </w:r>
          </w:p>
          <w:p w14:paraId="51C5F722">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本项目用地范围内无生态环境保护目标，故根据</w:t>
            </w:r>
            <w:r>
              <w:rPr>
                <w:rFonts w:hint="eastAsia" w:ascii="宋体" w:hAnsi="宋体" w:eastAsia="宋体" w:cs="宋体"/>
                <w:color w:val="000000"/>
                <w:sz w:val="21"/>
                <w:szCs w:val="21"/>
                <w:lang w:val="en-US" w:eastAsia="zh-CN"/>
              </w:rPr>
              <w:t>“关</w:t>
            </w:r>
            <w:r>
              <w:rPr>
                <w:rFonts w:hint="default" w:ascii="Times New Roman" w:hAnsi="Times New Roman" w:eastAsia="宋体" w:cs="Times New Roman"/>
                <w:color w:val="000000"/>
                <w:sz w:val="21"/>
                <w:szCs w:val="21"/>
                <w:lang w:val="en-US" w:eastAsia="zh-CN"/>
              </w:rPr>
              <w:t>于印发《建设项目环境影响报告表》内容、格式及编制技术指南的通知</w:t>
            </w:r>
            <w:r>
              <w:rPr>
                <w:rFonts w:hint="default" w:ascii="宋体" w:hAnsi="宋体" w:eastAsia="宋体" w:cs="宋体"/>
                <w:color w:val="000000"/>
                <w:sz w:val="21"/>
                <w:szCs w:val="21"/>
                <w:lang w:val="en-US" w:eastAsia="zh-CN"/>
              </w:rPr>
              <w:t>”</w:t>
            </w:r>
            <w:r>
              <w:rPr>
                <w:rFonts w:hint="default" w:ascii="Times New Roman" w:hAnsi="Times New Roman" w:eastAsia="宋体" w:cs="Times New Roman"/>
                <w:color w:val="000000"/>
                <w:sz w:val="21"/>
                <w:szCs w:val="21"/>
                <w:lang w:val="en-US" w:eastAsia="zh-CN"/>
              </w:rPr>
              <w:t>（环办环评【2020】33号），原则上不开展生态环境现状调查。</w:t>
            </w:r>
          </w:p>
          <w:p w14:paraId="1A8B188A">
            <w:pPr>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360" w:lineRule="auto"/>
              <w:ind w:left="0" w:right="0" w:firstLine="422" w:firstLineChars="200"/>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电磁辐射</w:t>
            </w:r>
          </w:p>
          <w:p w14:paraId="1BF52B07">
            <w:pPr>
              <w:pStyle w:val="24"/>
              <w:keepNext w:val="0"/>
              <w:keepLines w:val="0"/>
              <w:pageBreakBefore w:val="0"/>
              <w:widowControl w:val="0"/>
              <w:suppressLineNumbers w:val="0"/>
              <w:kinsoku/>
              <w:wordWrap/>
              <w:overflowPunct/>
              <w:topLinePunct w:val="0"/>
              <w:autoSpaceDE/>
              <w:autoSpaceDN/>
              <w:bidi w:val="0"/>
              <w:adjustRightInd/>
              <w:spacing w:before="0" w:beforeAutospacing="0" w:after="0" w:afterLines="0"/>
              <w:ind w:right="0" w:firstLine="420" w:firstLineChars="200"/>
              <w:jc w:val="both"/>
              <w:textAlignment w:val="auto"/>
              <w:rPr>
                <w:rFonts w:hint="eastAsia"/>
                <w:color w:val="000000"/>
                <w:lang w:val="en-US" w:eastAsia="zh-CN"/>
              </w:rPr>
            </w:pPr>
            <w:r>
              <w:rPr>
                <w:rFonts w:hint="default" w:ascii="Times New Roman" w:hAnsi="Times New Roman" w:eastAsia="宋体" w:cs="Times New Roman"/>
                <w:color w:val="000000"/>
                <w:sz w:val="21"/>
                <w:szCs w:val="21"/>
                <w:lang w:val="en-US" w:eastAsia="zh-CN"/>
              </w:rPr>
              <w:t>本项目不属于新建或改建、扩建广播电台、差转台。电视塔台、卫星地球上行站、雷达等电磁辐射类项目，故根据</w:t>
            </w:r>
            <w:r>
              <w:rPr>
                <w:rFonts w:hint="eastAsia" w:ascii="宋体" w:hAnsi="宋体" w:eastAsia="宋体" w:cs="宋体"/>
                <w:color w:val="000000"/>
                <w:sz w:val="21"/>
                <w:szCs w:val="21"/>
                <w:lang w:val="en-US" w:eastAsia="zh-CN"/>
              </w:rPr>
              <w:t>“</w:t>
            </w:r>
            <w:r>
              <w:rPr>
                <w:rFonts w:hint="default" w:ascii="Times New Roman" w:hAnsi="Times New Roman" w:eastAsia="宋体" w:cs="Times New Roman"/>
                <w:color w:val="000000"/>
                <w:sz w:val="21"/>
                <w:szCs w:val="21"/>
                <w:lang w:val="en-US" w:eastAsia="zh-CN"/>
              </w:rPr>
              <w:t>关于印发《建设项目环境影响报告表》内容、格式及编制技术指南的通知</w:t>
            </w:r>
            <w:r>
              <w:rPr>
                <w:rFonts w:hint="default" w:ascii="宋体" w:hAnsi="宋体" w:eastAsia="宋体" w:cs="宋体"/>
                <w:color w:val="000000"/>
                <w:sz w:val="21"/>
                <w:szCs w:val="21"/>
                <w:lang w:val="en-US" w:eastAsia="zh-CN"/>
              </w:rPr>
              <w:t>”</w:t>
            </w:r>
            <w:r>
              <w:rPr>
                <w:rFonts w:hint="default" w:ascii="Times New Roman" w:hAnsi="Times New Roman" w:eastAsia="宋体" w:cs="Times New Roman"/>
                <w:color w:val="000000"/>
                <w:sz w:val="21"/>
                <w:szCs w:val="21"/>
                <w:lang w:val="en-US" w:eastAsia="zh-CN"/>
              </w:rPr>
              <w:t>（环办环评【2020】33号），原则上不开展电磁辐射现状调查。</w:t>
            </w:r>
          </w:p>
        </w:tc>
      </w:tr>
      <w:tr w14:paraId="2B2D4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22" w:type="dxa"/>
            <w:noWrap w:val="0"/>
            <w:vAlign w:val="center"/>
          </w:tcPr>
          <w:p w14:paraId="1CEA6B2E">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环境</w:t>
            </w:r>
          </w:p>
          <w:p w14:paraId="7FCA9C85">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保护</w:t>
            </w:r>
          </w:p>
          <w:p w14:paraId="7C212745">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目标</w:t>
            </w:r>
          </w:p>
        </w:tc>
        <w:tc>
          <w:tcPr>
            <w:tcW w:w="8068" w:type="dxa"/>
            <w:noWrap w:val="0"/>
            <w:vAlign w:val="center"/>
          </w:tcPr>
          <w:p w14:paraId="06668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根据现场调查，项目周边敏感目标详细情况见</w:t>
            </w:r>
            <w:r>
              <w:rPr>
                <w:rFonts w:hint="eastAsia" w:ascii="Times New Roman" w:hAnsi="Times New Roman" w:eastAsia="宋体" w:cs="宋体"/>
                <w:color w:val="000000"/>
                <w:sz w:val="21"/>
                <w:szCs w:val="21"/>
                <w:lang w:eastAsia="zh-CN"/>
              </w:rPr>
              <w:t>下表</w:t>
            </w:r>
            <w:r>
              <w:rPr>
                <w:rFonts w:hint="eastAsia"/>
                <w:color w:val="000000"/>
                <w:sz w:val="21"/>
                <w:szCs w:val="21"/>
                <w:lang w:eastAsia="zh-CN"/>
              </w:rPr>
              <w:t>，详见</w:t>
            </w:r>
            <w:r>
              <w:rPr>
                <w:rFonts w:hint="eastAsia"/>
                <w:b/>
                <w:bCs/>
                <w:color w:val="000000"/>
                <w:sz w:val="21"/>
                <w:szCs w:val="21"/>
                <w:lang w:eastAsia="zh-CN"/>
              </w:rPr>
              <w:t>附图</w:t>
            </w:r>
            <w:r>
              <w:rPr>
                <w:rFonts w:hint="eastAsia"/>
                <w:b/>
                <w:bCs/>
                <w:color w:val="000000"/>
                <w:sz w:val="21"/>
                <w:szCs w:val="21"/>
                <w:lang w:val="en-US" w:eastAsia="zh-CN"/>
              </w:rPr>
              <w:t>7</w:t>
            </w:r>
            <w:r>
              <w:rPr>
                <w:rFonts w:hint="eastAsia" w:ascii="Times New Roman" w:hAnsi="Times New Roman" w:eastAsia="宋体" w:cs="宋体"/>
                <w:color w:val="000000"/>
                <w:sz w:val="21"/>
                <w:szCs w:val="21"/>
              </w:rPr>
              <w:t>。</w:t>
            </w:r>
          </w:p>
          <w:p w14:paraId="56619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000000"/>
                <w:sz w:val="21"/>
                <w:szCs w:val="21"/>
                <w:highlight w:val="none"/>
                <w:lang w:eastAsia="zh-CN"/>
              </w:rPr>
            </w:pPr>
            <w:r>
              <w:rPr>
                <w:rFonts w:hint="eastAsia" w:ascii="Times New Roman" w:hAnsi="Times New Roman" w:eastAsia="宋体" w:cs="宋体"/>
                <w:b/>
                <w:color w:val="000000"/>
                <w:sz w:val="21"/>
                <w:szCs w:val="21"/>
                <w:highlight w:val="none"/>
              </w:rPr>
              <w:t>表</w:t>
            </w:r>
            <w:r>
              <w:rPr>
                <w:rFonts w:hint="eastAsia" w:ascii="Times New Roman" w:hAnsi="Times New Roman" w:eastAsia="宋体" w:cs="宋体"/>
                <w:b/>
                <w:color w:val="000000"/>
                <w:sz w:val="21"/>
                <w:szCs w:val="21"/>
                <w:highlight w:val="none"/>
                <w:lang w:val="en-US" w:eastAsia="zh-CN"/>
              </w:rPr>
              <w:t>3</w:t>
            </w:r>
            <w:r>
              <w:rPr>
                <w:rFonts w:hint="eastAsia" w:cs="宋体"/>
                <w:b/>
                <w:color w:val="000000"/>
                <w:sz w:val="21"/>
                <w:szCs w:val="21"/>
                <w:highlight w:val="none"/>
                <w:lang w:val="en-US" w:eastAsia="zh-CN"/>
              </w:rPr>
              <w:t>-6</w:t>
            </w:r>
            <w:r>
              <w:rPr>
                <w:rFonts w:hint="eastAsia" w:ascii="Times New Roman" w:hAnsi="Times New Roman" w:eastAsia="宋体" w:cs="宋体"/>
                <w:b/>
                <w:color w:val="000000"/>
                <w:sz w:val="21"/>
                <w:szCs w:val="21"/>
                <w:highlight w:val="none"/>
                <w:lang w:val="en-US" w:eastAsia="zh-CN"/>
              </w:rPr>
              <w:t xml:space="preserve"> </w:t>
            </w:r>
            <w:r>
              <w:rPr>
                <w:rFonts w:hint="eastAsia" w:ascii="Times New Roman" w:hAnsi="Times New Roman" w:eastAsia="宋体" w:cs="宋体"/>
                <w:b/>
                <w:color w:val="000000"/>
                <w:sz w:val="21"/>
                <w:szCs w:val="21"/>
                <w:highlight w:val="none"/>
              </w:rPr>
              <w:t xml:space="preserve"> 环境保护</w:t>
            </w:r>
            <w:r>
              <w:rPr>
                <w:rFonts w:hint="eastAsia" w:ascii="宋体" w:hAnsi="宋体" w:eastAsia="宋体" w:cs="宋体"/>
                <w:b/>
                <w:bCs/>
                <w:color w:val="000000"/>
                <w:highlight w:val="none"/>
                <w:lang w:val="en-US" w:eastAsia="zh-CN"/>
              </w:rPr>
              <w:t>目标</w:t>
            </w:r>
            <w:r>
              <w:rPr>
                <w:rFonts w:hint="eastAsia" w:ascii="Times New Roman" w:hAnsi="Times New Roman" w:eastAsia="宋体" w:cs="Times New Roman"/>
                <w:b/>
                <w:bCs/>
                <w:color w:val="000000"/>
                <w:sz w:val="21"/>
                <w:szCs w:val="21"/>
                <w:highlight w:val="none"/>
                <w:lang w:eastAsia="zh-CN"/>
              </w:rPr>
              <w:t>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74"/>
              <w:gridCol w:w="1233"/>
              <w:gridCol w:w="1085"/>
              <w:gridCol w:w="537"/>
              <w:gridCol w:w="706"/>
              <w:gridCol w:w="1081"/>
              <w:gridCol w:w="762"/>
              <w:gridCol w:w="650"/>
            </w:tblGrid>
            <w:tr w14:paraId="78093C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2" w:type="pct"/>
                  <w:vMerge w:val="restart"/>
                  <w:tcBorders>
                    <w:tl2br w:val="nil"/>
                    <w:tr2bl w:val="nil"/>
                  </w:tcBorders>
                  <w:noWrap w:val="0"/>
                  <w:vAlign w:val="center"/>
                </w:tcPr>
                <w:p w14:paraId="0DBC980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r>
                    <w:rPr>
                      <w:rFonts w:hint="default" w:ascii="Times New Roman" w:hAnsi="Times New Roman" w:cs="Times New Roman"/>
                      <w:b/>
                      <w:bCs w:val="0"/>
                      <w:color w:val="auto"/>
                      <w:kern w:val="2"/>
                      <w:sz w:val="21"/>
                      <w:szCs w:val="21"/>
                      <w:lang w:val="en-US" w:eastAsia="zh-CN" w:bidi="ar"/>
                    </w:rPr>
                    <w:t>环境要素</w:t>
                  </w:r>
                </w:p>
              </w:tc>
              <w:tc>
                <w:tcPr>
                  <w:tcW w:w="492" w:type="pct"/>
                  <w:vMerge w:val="restart"/>
                  <w:tcBorders>
                    <w:tl2br w:val="nil"/>
                    <w:tr2bl w:val="nil"/>
                  </w:tcBorders>
                  <w:noWrap w:val="0"/>
                  <w:vAlign w:val="center"/>
                </w:tcPr>
                <w:p w14:paraId="55AB398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名称</w:t>
                  </w:r>
                </w:p>
              </w:tc>
              <w:tc>
                <w:tcPr>
                  <w:tcW w:w="1476" w:type="pct"/>
                  <w:gridSpan w:val="2"/>
                  <w:tcBorders>
                    <w:tl2br w:val="nil"/>
                    <w:tr2bl w:val="nil"/>
                  </w:tcBorders>
                  <w:noWrap w:val="0"/>
                  <w:vAlign w:val="center"/>
                </w:tcPr>
                <w:p w14:paraId="62DD103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r>
                    <w:rPr>
                      <w:rFonts w:hint="default" w:ascii="Times New Roman" w:hAnsi="Times New Roman" w:cs="Times New Roman"/>
                      <w:b/>
                      <w:bCs w:val="0"/>
                      <w:color w:val="auto"/>
                      <w:kern w:val="2"/>
                      <w:sz w:val="21"/>
                      <w:szCs w:val="21"/>
                      <w:lang w:val="en-US" w:eastAsia="zh-CN" w:bidi="ar"/>
                    </w:rPr>
                    <w:t>坐标</w:t>
                  </w:r>
                </w:p>
              </w:tc>
              <w:tc>
                <w:tcPr>
                  <w:tcW w:w="341" w:type="pct"/>
                  <w:vMerge w:val="restart"/>
                  <w:tcBorders>
                    <w:tl2br w:val="nil"/>
                    <w:tr2bl w:val="nil"/>
                  </w:tcBorders>
                  <w:noWrap w:val="0"/>
                  <w:vAlign w:val="center"/>
                </w:tcPr>
                <w:p w14:paraId="00F44884">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r>
                    <w:rPr>
                      <w:rFonts w:hint="default" w:ascii="Times New Roman" w:hAnsi="Times New Roman" w:eastAsia="宋体" w:cs="Times New Roman"/>
                      <w:b/>
                      <w:bCs w:val="0"/>
                      <w:color w:val="auto"/>
                      <w:kern w:val="2"/>
                      <w:sz w:val="21"/>
                      <w:szCs w:val="21"/>
                      <w:lang w:val="en-US" w:eastAsia="zh-CN" w:bidi="ar"/>
                    </w:rPr>
                    <w:t>保护对象</w:t>
                  </w:r>
                </w:p>
              </w:tc>
              <w:tc>
                <w:tcPr>
                  <w:tcW w:w="449" w:type="pct"/>
                  <w:vMerge w:val="restart"/>
                  <w:tcBorders>
                    <w:tl2br w:val="nil"/>
                    <w:tr2bl w:val="nil"/>
                  </w:tcBorders>
                  <w:noWrap w:val="0"/>
                  <w:vAlign w:val="center"/>
                </w:tcPr>
                <w:p w14:paraId="1720A690">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r>
                    <w:rPr>
                      <w:rFonts w:hint="default" w:ascii="Times New Roman" w:hAnsi="Times New Roman" w:eastAsia="宋体" w:cs="Times New Roman"/>
                      <w:b/>
                      <w:bCs w:val="0"/>
                      <w:color w:val="auto"/>
                      <w:kern w:val="2"/>
                      <w:sz w:val="21"/>
                      <w:szCs w:val="21"/>
                      <w:lang w:val="en-US" w:eastAsia="zh-CN" w:bidi="ar"/>
                    </w:rPr>
                    <w:t>保护内容</w:t>
                  </w:r>
                </w:p>
              </w:tc>
              <w:tc>
                <w:tcPr>
                  <w:tcW w:w="688" w:type="pct"/>
                  <w:vMerge w:val="restart"/>
                  <w:tcBorders>
                    <w:tl2br w:val="nil"/>
                    <w:tr2bl w:val="nil"/>
                  </w:tcBorders>
                  <w:noWrap w:val="0"/>
                  <w:vAlign w:val="center"/>
                </w:tcPr>
                <w:p w14:paraId="23F7972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r>
                    <w:rPr>
                      <w:rFonts w:hint="default" w:ascii="Times New Roman" w:hAnsi="Times New Roman" w:eastAsia="宋体" w:cs="Times New Roman"/>
                      <w:b/>
                      <w:bCs w:val="0"/>
                      <w:color w:val="auto"/>
                      <w:kern w:val="2"/>
                      <w:sz w:val="21"/>
                      <w:szCs w:val="21"/>
                      <w:lang w:val="en-US" w:eastAsia="zh-CN" w:bidi="ar"/>
                    </w:rPr>
                    <w:t>环境功能区</w:t>
                  </w:r>
                </w:p>
              </w:tc>
              <w:tc>
                <w:tcPr>
                  <w:tcW w:w="485" w:type="pct"/>
                  <w:vMerge w:val="restart"/>
                  <w:tcBorders>
                    <w:tl2br w:val="nil"/>
                    <w:tr2bl w:val="nil"/>
                  </w:tcBorders>
                  <w:noWrap w:val="0"/>
                  <w:vAlign w:val="center"/>
                </w:tcPr>
                <w:p w14:paraId="75BFF14F">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cs="Times New Roman"/>
                      <w:b/>
                      <w:bCs w:val="0"/>
                      <w:color w:val="auto"/>
                      <w:sz w:val="21"/>
                      <w:szCs w:val="21"/>
                      <w:lang w:val="en-US"/>
                    </w:rPr>
                  </w:pPr>
                  <w:r>
                    <w:rPr>
                      <w:rFonts w:hint="default" w:ascii="Times New Roman" w:hAnsi="Times New Roman" w:cs="Times New Roman"/>
                      <w:b/>
                      <w:bCs w:val="0"/>
                      <w:color w:val="auto"/>
                      <w:kern w:val="2"/>
                      <w:sz w:val="21"/>
                      <w:szCs w:val="21"/>
                      <w:lang w:val="en-US" w:eastAsia="zh-CN" w:bidi="ar"/>
                    </w:rPr>
                    <w:t>相对厂址方位</w:t>
                  </w:r>
                </w:p>
              </w:tc>
              <w:tc>
                <w:tcPr>
                  <w:tcW w:w="413" w:type="pct"/>
                  <w:vMerge w:val="restart"/>
                  <w:tcBorders>
                    <w:tl2br w:val="nil"/>
                    <w:tr2bl w:val="nil"/>
                  </w:tcBorders>
                  <w:noWrap w:val="0"/>
                  <w:vAlign w:val="center"/>
                </w:tcPr>
                <w:p w14:paraId="6D969FBD">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r>
                    <w:rPr>
                      <w:rFonts w:hint="default" w:ascii="Times New Roman" w:hAnsi="Times New Roman" w:eastAsia="宋体" w:cs="Times New Roman"/>
                      <w:b/>
                      <w:bCs w:val="0"/>
                      <w:color w:val="auto"/>
                      <w:kern w:val="2"/>
                      <w:sz w:val="21"/>
                      <w:szCs w:val="21"/>
                      <w:lang w:val="en-US" w:eastAsia="zh-CN" w:bidi="ar"/>
                    </w:rPr>
                    <w:t>距离</w:t>
                  </w:r>
                  <w:r>
                    <w:rPr>
                      <w:rFonts w:hint="default" w:ascii="Times New Roman" w:hAnsi="Times New Roman" w:cs="Times New Roman"/>
                      <w:b/>
                      <w:bCs w:val="0"/>
                      <w:color w:val="auto"/>
                      <w:kern w:val="2"/>
                      <w:sz w:val="21"/>
                      <w:szCs w:val="21"/>
                      <w:lang w:val="en-US" w:eastAsia="zh-CN" w:bidi="ar"/>
                    </w:rPr>
                    <w:t>/m</w:t>
                  </w:r>
                </w:p>
              </w:tc>
            </w:tr>
            <w:tr w14:paraId="189EBF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2" w:type="pct"/>
                  <w:vMerge w:val="continue"/>
                  <w:tcBorders>
                    <w:tl2br w:val="nil"/>
                    <w:tr2bl w:val="nil"/>
                  </w:tcBorders>
                  <w:noWrap w:val="0"/>
                  <w:vAlign w:val="center"/>
                </w:tcPr>
                <w:p w14:paraId="31E0098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p>
              </w:tc>
              <w:tc>
                <w:tcPr>
                  <w:tcW w:w="492" w:type="pct"/>
                  <w:vMerge w:val="continue"/>
                  <w:tcBorders>
                    <w:tl2br w:val="nil"/>
                    <w:tr2bl w:val="nil"/>
                  </w:tcBorders>
                  <w:noWrap w:val="0"/>
                  <w:vAlign w:val="center"/>
                </w:tcPr>
                <w:p w14:paraId="66FECCE8">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p>
              </w:tc>
              <w:tc>
                <w:tcPr>
                  <w:tcW w:w="785" w:type="pct"/>
                  <w:tcBorders>
                    <w:tl2br w:val="nil"/>
                    <w:tr2bl w:val="nil"/>
                  </w:tcBorders>
                  <w:noWrap w:val="0"/>
                  <w:vAlign w:val="center"/>
                </w:tcPr>
                <w:p w14:paraId="349BF9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b/>
                      <w:bCs w:val="0"/>
                      <w:color w:val="auto"/>
                      <w:kern w:val="2"/>
                      <w:sz w:val="21"/>
                      <w:szCs w:val="21"/>
                      <w:lang w:val="en-US" w:eastAsia="zh-CN" w:bidi="ar"/>
                    </w:rPr>
                  </w:pPr>
                  <w:r>
                    <w:rPr>
                      <w:rFonts w:hint="default" w:ascii="Times New Roman" w:hAnsi="Times New Roman" w:cs="Times New Roman"/>
                      <w:b/>
                      <w:bCs w:val="0"/>
                      <w:i w:val="0"/>
                      <w:iCs w:val="0"/>
                      <w:color w:val="auto"/>
                      <w:sz w:val="21"/>
                      <w:szCs w:val="21"/>
                      <w:lang w:val="en-US" w:eastAsia="zh-CN"/>
                    </w:rPr>
                    <w:t>经度</w:t>
                  </w:r>
                </w:p>
              </w:tc>
              <w:tc>
                <w:tcPr>
                  <w:tcW w:w="690" w:type="pct"/>
                  <w:tcBorders>
                    <w:tl2br w:val="nil"/>
                    <w:tr2bl w:val="nil"/>
                  </w:tcBorders>
                  <w:noWrap w:val="0"/>
                  <w:vAlign w:val="center"/>
                </w:tcPr>
                <w:p w14:paraId="677B24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b/>
                      <w:bCs w:val="0"/>
                      <w:color w:val="auto"/>
                      <w:kern w:val="2"/>
                      <w:sz w:val="21"/>
                      <w:szCs w:val="21"/>
                      <w:lang w:val="en-US" w:eastAsia="zh-CN" w:bidi="ar"/>
                    </w:rPr>
                  </w:pPr>
                  <w:r>
                    <w:rPr>
                      <w:rFonts w:hint="default" w:ascii="Times New Roman" w:hAnsi="Times New Roman" w:cs="Times New Roman"/>
                      <w:b/>
                      <w:bCs w:val="0"/>
                      <w:i w:val="0"/>
                      <w:iCs w:val="0"/>
                      <w:color w:val="auto"/>
                      <w:sz w:val="21"/>
                      <w:szCs w:val="21"/>
                      <w:lang w:val="en-US" w:eastAsia="zh-CN"/>
                    </w:rPr>
                    <w:t>纬度</w:t>
                  </w:r>
                </w:p>
              </w:tc>
              <w:tc>
                <w:tcPr>
                  <w:tcW w:w="341" w:type="pct"/>
                  <w:vMerge w:val="continue"/>
                  <w:tcBorders>
                    <w:tl2br w:val="nil"/>
                    <w:tr2bl w:val="nil"/>
                  </w:tcBorders>
                  <w:noWrap w:val="0"/>
                  <w:vAlign w:val="center"/>
                </w:tcPr>
                <w:p w14:paraId="540540C9">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p>
              </w:tc>
              <w:tc>
                <w:tcPr>
                  <w:tcW w:w="449" w:type="pct"/>
                  <w:vMerge w:val="continue"/>
                  <w:tcBorders>
                    <w:tl2br w:val="nil"/>
                    <w:tr2bl w:val="nil"/>
                  </w:tcBorders>
                  <w:noWrap w:val="0"/>
                  <w:vAlign w:val="center"/>
                </w:tcPr>
                <w:p w14:paraId="09E2B9D1">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p>
              </w:tc>
              <w:tc>
                <w:tcPr>
                  <w:tcW w:w="688" w:type="pct"/>
                  <w:vMerge w:val="continue"/>
                  <w:tcBorders>
                    <w:tl2br w:val="nil"/>
                    <w:tr2bl w:val="nil"/>
                  </w:tcBorders>
                  <w:noWrap w:val="0"/>
                  <w:vAlign w:val="center"/>
                </w:tcPr>
                <w:p w14:paraId="48F52E0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p>
              </w:tc>
              <w:tc>
                <w:tcPr>
                  <w:tcW w:w="485" w:type="pct"/>
                  <w:vMerge w:val="continue"/>
                  <w:tcBorders>
                    <w:tl2br w:val="nil"/>
                    <w:tr2bl w:val="nil"/>
                  </w:tcBorders>
                  <w:noWrap w:val="0"/>
                  <w:vAlign w:val="center"/>
                </w:tcPr>
                <w:p w14:paraId="6B3DF3E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p>
              </w:tc>
              <w:tc>
                <w:tcPr>
                  <w:tcW w:w="413" w:type="pct"/>
                  <w:vMerge w:val="continue"/>
                  <w:tcBorders>
                    <w:tl2br w:val="nil"/>
                    <w:tr2bl w:val="nil"/>
                  </w:tcBorders>
                  <w:noWrap w:val="0"/>
                  <w:vAlign w:val="center"/>
                </w:tcPr>
                <w:p w14:paraId="16A5208E">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val="0"/>
                      <w:color w:val="auto"/>
                      <w:kern w:val="2"/>
                      <w:sz w:val="21"/>
                      <w:szCs w:val="21"/>
                      <w:lang w:val="en-US" w:eastAsia="zh-CN" w:bidi="ar"/>
                    </w:rPr>
                  </w:pPr>
                </w:p>
              </w:tc>
            </w:tr>
            <w:tr w14:paraId="35C940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652" w:type="pct"/>
                  <w:vMerge w:val="restart"/>
                  <w:tcBorders>
                    <w:tl2br w:val="nil"/>
                    <w:tr2bl w:val="nil"/>
                  </w:tcBorders>
                  <w:noWrap w:val="0"/>
                  <w:vAlign w:val="center"/>
                </w:tcPr>
                <w:p w14:paraId="553EB80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bidi="ar"/>
                    </w:rPr>
                    <w:t>大气环境</w:t>
                  </w:r>
                </w:p>
              </w:tc>
              <w:tc>
                <w:tcPr>
                  <w:tcW w:w="492" w:type="pct"/>
                  <w:tcBorders>
                    <w:tl2br w:val="nil"/>
                    <w:tr2bl w:val="nil"/>
                  </w:tcBorders>
                  <w:noWrap w:val="0"/>
                  <w:vAlign w:val="center"/>
                </w:tcPr>
                <w:p w14:paraId="50F69C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后郭村</w:t>
                  </w:r>
                </w:p>
              </w:tc>
              <w:tc>
                <w:tcPr>
                  <w:tcW w:w="785" w:type="pct"/>
                  <w:tcBorders>
                    <w:tl2br w:val="nil"/>
                    <w:tr2bl w:val="nil"/>
                  </w:tcBorders>
                  <w:noWrap w:val="0"/>
                  <w:vAlign w:val="center"/>
                </w:tcPr>
                <w:p w14:paraId="36F6B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118.708208</w:t>
                  </w:r>
                  <w:r>
                    <w:rPr>
                      <w:rFonts w:hint="default" w:ascii="Times New Roman" w:hAnsi="Times New Roman" w:cs="Times New Roman"/>
                      <w:color w:val="auto"/>
                      <w:sz w:val="21"/>
                      <w:szCs w:val="21"/>
                      <w:lang w:val="en-US" w:eastAsia="zh-CN"/>
                    </w:rPr>
                    <w:t>°</w:t>
                  </w:r>
                </w:p>
              </w:tc>
              <w:tc>
                <w:tcPr>
                  <w:tcW w:w="690" w:type="pct"/>
                  <w:tcBorders>
                    <w:tl2br w:val="nil"/>
                    <w:tr2bl w:val="nil"/>
                  </w:tcBorders>
                  <w:noWrap w:val="0"/>
                  <w:vAlign w:val="center"/>
                </w:tcPr>
                <w:p w14:paraId="0A6DA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25.034443</w:t>
                  </w:r>
                  <w:r>
                    <w:rPr>
                      <w:rFonts w:hint="default" w:ascii="Times New Roman" w:hAnsi="Times New Roman" w:cs="Times New Roman"/>
                      <w:color w:val="auto"/>
                      <w:sz w:val="21"/>
                      <w:szCs w:val="21"/>
                      <w:lang w:val="en-US" w:eastAsia="zh-CN"/>
                    </w:rPr>
                    <w:t>°</w:t>
                  </w:r>
                </w:p>
              </w:tc>
              <w:tc>
                <w:tcPr>
                  <w:tcW w:w="341" w:type="pct"/>
                  <w:vMerge w:val="restart"/>
                  <w:tcBorders>
                    <w:tl2br w:val="nil"/>
                    <w:tr2bl w:val="nil"/>
                  </w:tcBorders>
                  <w:noWrap w:val="0"/>
                  <w:vAlign w:val="center"/>
                </w:tcPr>
                <w:p w14:paraId="0414B0F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居民</w:t>
                  </w:r>
                </w:p>
              </w:tc>
              <w:tc>
                <w:tcPr>
                  <w:tcW w:w="449" w:type="pct"/>
                  <w:tcBorders>
                    <w:tl2br w:val="nil"/>
                    <w:tr2bl w:val="nil"/>
                  </w:tcBorders>
                  <w:noWrap w:val="0"/>
                  <w:vAlign w:val="center"/>
                </w:tcPr>
                <w:p w14:paraId="35BD49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人群</w:t>
                  </w:r>
                </w:p>
              </w:tc>
              <w:tc>
                <w:tcPr>
                  <w:tcW w:w="688" w:type="pct"/>
                  <w:vMerge w:val="restart"/>
                  <w:tcBorders>
                    <w:tl2br w:val="nil"/>
                    <w:tr2bl w:val="nil"/>
                  </w:tcBorders>
                  <w:noWrap w:val="0"/>
                  <w:vAlign w:val="center"/>
                </w:tcPr>
                <w:p w14:paraId="47E652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bidi="ar"/>
                    </w:rPr>
                    <w:t>二类环境空气质量功能区</w:t>
                  </w:r>
                </w:p>
              </w:tc>
              <w:tc>
                <w:tcPr>
                  <w:tcW w:w="485" w:type="pct"/>
                  <w:tcBorders>
                    <w:tl2br w:val="nil"/>
                    <w:tr2bl w:val="nil"/>
                  </w:tcBorders>
                  <w:noWrap w:val="0"/>
                  <w:vAlign w:val="center"/>
                </w:tcPr>
                <w:p w14:paraId="4AA2BB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东北侧</w:t>
                  </w:r>
                </w:p>
              </w:tc>
              <w:tc>
                <w:tcPr>
                  <w:tcW w:w="413" w:type="pct"/>
                  <w:tcBorders>
                    <w:tl2br w:val="nil"/>
                    <w:tr2bl w:val="nil"/>
                  </w:tcBorders>
                  <w:noWrap w:val="0"/>
                  <w:vAlign w:val="center"/>
                </w:tcPr>
                <w:p w14:paraId="77D4BC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393</w:t>
                  </w:r>
                </w:p>
              </w:tc>
            </w:tr>
            <w:tr w14:paraId="3D4ABF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2" w:type="pct"/>
                  <w:vMerge w:val="continue"/>
                  <w:tcBorders>
                    <w:tl2br w:val="nil"/>
                    <w:tr2bl w:val="nil"/>
                  </w:tcBorders>
                  <w:noWrap w:val="0"/>
                  <w:vAlign w:val="center"/>
                </w:tcPr>
                <w:p w14:paraId="18F2CF8C">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lang w:bidi="ar"/>
                    </w:rPr>
                  </w:pPr>
                </w:p>
              </w:tc>
              <w:tc>
                <w:tcPr>
                  <w:tcW w:w="492" w:type="pct"/>
                  <w:tcBorders>
                    <w:tl2br w:val="nil"/>
                    <w:tr2bl w:val="nil"/>
                  </w:tcBorders>
                  <w:noWrap w:val="0"/>
                  <w:vAlign w:val="center"/>
                </w:tcPr>
                <w:p w14:paraId="2C3A6F62">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前郭村</w:t>
                  </w:r>
                </w:p>
              </w:tc>
              <w:tc>
                <w:tcPr>
                  <w:tcW w:w="785" w:type="pct"/>
                  <w:tcBorders>
                    <w:tl2br w:val="nil"/>
                    <w:tr2bl w:val="nil"/>
                  </w:tcBorders>
                  <w:noWrap w:val="0"/>
                  <w:vAlign w:val="center"/>
                </w:tcPr>
                <w:p w14:paraId="22636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118.706749</w:t>
                  </w:r>
                  <w:r>
                    <w:rPr>
                      <w:rFonts w:hint="default" w:ascii="Times New Roman" w:hAnsi="Times New Roman" w:cs="Times New Roman"/>
                      <w:color w:val="auto"/>
                      <w:sz w:val="21"/>
                      <w:szCs w:val="21"/>
                      <w:lang w:val="en-US" w:eastAsia="zh-CN"/>
                    </w:rPr>
                    <w:t>°</w:t>
                  </w:r>
                </w:p>
              </w:tc>
              <w:tc>
                <w:tcPr>
                  <w:tcW w:w="690" w:type="pct"/>
                  <w:tcBorders>
                    <w:tl2br w:val="nil"/>
                    <w:tr2bl w:val="nil"/>
                  </w:tcBorders>
                  <w:noWrap w:val="0"/>
                  <w:vAlign w:val="center"/>
                </w:tcPr>
                <w:p w14:paraId="4CA06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25.026160</w:t>
                  </w:r>
                  <w:r>
                    <w:rPr>
                      <w:rFonts w:hint="default" w:ascii="Times New Roman" w:hAnsi="Times New Roman" w:cs="Times New Roman"/>
                      <w:color w:val="auto"/>
                      <w:sz w:val="21"/>
                      <w:szCs w:val="21"/>
                      <w:lang w:val="en-US" w:eastAsia="zh-CN"/>
                    </w:rPr>
                    <w:t>°</w:t>
                  </w:r>
                </w:p>
              </w:tc>
              <w:tc>
                <w:tcPr>
                  <w:tcW w:w="341" w:type="pct"/>
                  <w:vMerge w:val="continue"/>
                  <w:tcBorders>
                    <w:tl2br w:val="nil"/>
                    <w:tr2bl w:val="nil"/>
                  </w:tcBorders>
                  <w:noWrap w:val="0"/>
                  <w:vAlign w:val="center"/>
                </w:tcPr>
                <w:p w14:paraId="284B15F6">
                  <w:pPr>
                    <w:keepNext w:val="0"/>
                    <w:keepLines w:val="0"/>
                    <w:pageBreakBefore w:val="0"/>
                    <w:suppressLineNumbers w:val="0"/>
                    <w:kinsoku/>
                    <w:wordWrap/>
                    <w:overflowPunct/>
                    <w:topLinePunct w:val="0"/>
                    <w:autoSpaceDE/>
                    <w:autoSpaceDN/>
                    <w:bidi w:val="0"/>
                    <w:spacing w:before="0" w:beforeAutospacing="0" w:after="0" w:afterAutospacing="0" w:line="240" w:lineRule="auto"/>
                    <w:ind w:left="-63" w:leftChars="-30" w:right="-63" w:rightChars="-30"/>
                    <w:jc w:val="center"/>
                    <w:textAlignment w:val="auto"/>
                    <w:rPr>
                      <w:rFonts w:hint="eastAsia" w:ascii="Times New Roman" w:hAnsi="Times New Roman" w:cs="Times New Roman"/>
                      <w:color w:val="auto"/>
                      <w:lang w:val="en-US" w:eastAsia="zh-CN"/>
                    </w:rPr>
                  </w:pPr>
                </w:p>
              </w:tc>
              <w:tc>
                <w:tcPr>
                  <w:tcW w:w="449" w:type="pct"/>
                  <w:tcBorders>
                    <w:tl2br w:val="nil"/>
                    <w:tr2bl w:val="nil"/>
                  </w:tcBorders>
                  <w:noWrap w:val="0"/>
                  <w:vAlign w:val="center"/>
                </w:tcPr>
                <w:p w14:paraId="3469600F">
                  <w:pPr>
                    <w:keepNext w:val="0"/>
                    <w:keepLines w:val="0"/>
                    <w:pageBreakBefore w:val="0"/>
                    <w:suppressLineNumbers w:val="0"/>
                    <w:kinsoku/>
                    <w:wordWrap/>
                    <w:overflowPunct/>
                    <w:topLinePunct w:val="0"/>
                    <w:autoSpaceDE/>
                    <w:autoSpaceDN/>
                    <w:bidi w:val="0"/>
                    <w:spacing w:before="0" w:beforeAutospacing="0" w:after="0" w:afterAutospacing="0" w:line="240" w:lineRule="auto"/>
                    <w:ind w:left="-63" w:leftChars="-30" w:right="-63" w:rightChars="-3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人群</w:t>
                  </w:r>
                </w:p>
              </w:tc>
              <w:tc>
                <w:tcPr>
                  <w:tcW w:w="688" w:type="pct"/>
                  <w:vMerge w:val="continue"/>
                  <w:tcBorders>
                    <w:tl2br w:val="nil"/>
                    <w:tr2bl w:val="nil"/>
                  </w:tcBorders>
                  <w:noWrap w:val="0"/>
                  <w:vAlign w:val="center"/>
                </w:tcPr>
                <w:p w14:paraId="71D346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lang w:val="en-US" w:eastAsia="zh-CN" w:bidi="ar"/>
                    </w:rPr>
                  </w:pPr>
                </w:p>
              </w:tc>
              <w:tc>
                <w:tcPr>
                  <w:tcW w:w="485" w:type="pct"/>
                  <w:tcBorders>
                    <w:tl2br w:val="nil"/>
                    <w:tr2bl w:val="nil"/>
                  </w:tcBorders>
                  <w:noWrap w:val="0"/>
                  <w:vAlign w:val="center"/>
                </w:tcPr>
                <w:p w14:paraId="449B90B0">
                  <w:pPr>
                    <w:keepNext w:val="0"/>
                    <w:keepLines w:val="0"/>
                    <w:pageBreakBefore w:val="0"/>
                    <w:suppressLineNumbers w:val="0"/>
                    <w:kinsoku/>
                    <w:wordWrap/>
                    <w:overflowPunct/>
                    <w:topLinePunct w:val="0"/>
                    <w:autoSpaceDE/>
                    <w:autoSpaceDN/>
                    <w:bidi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东南侧</w:t>
                  </w:r>
                </w:p>
              </w:tc>
              <w:tc>
                <w:tcPr>
                  <w:tcW w:w="413" w:type="pct"/>
                  <w:tcBorders>
                    <w:tl2br w:val="nil"/>
                    <w:tr2bl w:val="nil"/>
                  </w:tcBorders>
                  <w:noWrap w:val="0"/>
                  <w:vAlign w:val="center"/>
                </w:tcPr>
                <w:p w14:paraId="6DAD5FF1">
                  <w:pPr>
                    <w:keepNext w:val="0"/>
                    <w:keepLines w:val="0"/>
                    <w:pageBreakBefore w:val="0"/>
                    <w:suppressLineNumbers w:val="0"/>
                    <w:kinsoku/>
                    <w:wordWrap/>
                    <w:overflowPunct/>
                    <w:topLinePunct w:val="0"/>
                    <w:autoSpaceDE/>
                    <w:autoSpaceDN/>
                    <w:bidi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258</w:t>
                  </w:r>
                </w:p>
              </w:tc>
            </w:tr>
            <w:tr w14:paraId="0FB3B1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2" w:type="pct"/>
                  <w:vMerge w:val="continue"/>
                  <w:tcBorders>
                    <w:tl2br w:val="nil"/>
                    <w:tr2bl w:val="nil"/>
                  </w:tcBorders>
                  <w:noWrap w:val="0"/>
                  <w:vAlign w:val="center"/>
                </w:tcPr>
                <w:p w14:paraId="7B6C16A3">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lang w:bidi="ar"/>
                    </w:rPr>
                  </w:pPr>
                </w:p>
              </w:tc>
              <w:tc>
                <w:tcPr>
                  <w:tcW w:w="492" w:type="pct"/>
                  <w:tcBorders>
                    <w:tl2br w:val="nil"/>
                    <w:tr2bl w:val="nil"/>
                  </w:tcBorders>
                  <w:noWrap w:val="0"/>
                  <w:vAlign w:val="center"/>
                </w:tcPr>
                <w:p w14:paraId="083D732A">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sz w:val="21"/>
                      <w:szCs w:val="21"/>
                      <w:vertAlign w:val="baseline"/>
                      <w:lang w:val="en-US" w:eastAsia="zh-CN"/>
                    </w:rPr>
                    <w:t>云扬航空学校</w:t>
                  </w:r>
                </w:p>
              </w:tc>
              <w:tc>
                <w:tcPr>
                  <w:tcW w:w="785" w:type="pct"/>
                  <w:vMerge w:val="restart"/>
                  <w:tcBorders>
                    <w:tl2br w:val="nil"/>
                    <w:tr2bl w:val="nil"/>
                  </w:tcBorders>
                  <w:noWrap w:val="0"/>
                  <w:vAlign w:val="center"/>
                </w:tcPr>
                <w:p w14:paraId="03F5F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118.706301</w:t>
                  </w:r>
                  <w:r>
                    <w:rPr>
                      <w:rFonts w:hint="default" w:ascii="Times New Roman" w:hAnsi="Times New Roman" w:cs="Times New Roman"/>
                      <w:color w:val="auto"/>
                      <w:sz w:val="21"/>
                      <w:szCs w:val="21"/>
                      <w:lang w:val="en-US" w:eastAsia="zh-CN"/>
                    </w:rPr>
                    <w:t>°</w:t>
                  </w:r>
                </w:p>
              </w:tc>
              <w:tc>
                <w:tcPr>
                  <w:tcW w:w="690" w:type="pct"/>
                  <w:vMerge w:val="restart"/>
                  <w:tcBorders>
                    <w:tl2br w:val="nil"/>
                    <w:tr2bl w:val="nil"/>
                  </w:tcBorders>
                  <w:noWrap w:val="0"/>
                  <w:vAlign w:val="center"/>
                </w:tcPr>
                <w:p w14:paraId="40234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25.029148</w:t>
                  </w:r>
                  <w:r>
                    <w:rPr>
                      <w:rFonts w:hint="default" w:ascii="Times New Roman" w:hAnsi="Times New Roman" w:cs="Times New Roman"/>
                      <w:color w:val="auto"/>
                      <w:sz w:val="21"/>
                      <w:szCs w:val="21"/>
                      <w:lang w:val="en-US" w:eastAsia="zh-CN"/>
                    </w:rPr>
                    <w:t>°</w:t>
                  </w:r>
                </w:p>
              </w:tc>
              <w:tc>
                <w:tcPr>
                  <w:tcW w:w="341" w:type="pct"/>
                  <w:vMerge w:val="restart"/>
                  <w:tcBorders>
                    <w:tl2br w:val="nil"/>
                    <w:tr2bl w:val="nil"/>
                  </w:tcBorders>
                  <w:noWrap w:val="0"/>
                  <w:vAlign w:val="center"/>
                </w:tcPr>
                <w:p w14:paraId="189BFE5B">
                  <w:pPr>
                    <w:keepNext w:val="0"/>
                    <w:keepLines w:val="0"/>
                    <w:pageBreakBefore w:val="0"/>
                    <w:suppressLineNumbers w:val="0"/>
                    <w:kinsoku/>
                    <w:wordWrap/>
                    <w:overflowPunct/>
                    <w:topLinePunct w:val="0"/>
                    <w:autoSpaceDE/>
                    <w:autoSpaceDN/>
                    <w:bidi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学校</w:t>
                  </w:r>
                </w:p>
              </w:tc>
              <w:tc>
                <w:tcPr>
                  <w:tcW w:w="449" w:type="pct"/>
                  <w:vMerge w:val="restart"/>
                  <w:tcBorders>
                    <w:tl2br w:val="nil"/>
                    <w:tr2bl w:val="nil"/>
                  </w:tcBorders>
                  <w:noWrap w:val="0"/>
                  <w:vAlign w:val="center"/>
                </w:tcPr>
                <w:p w14:paraId="24CFF136">
                  <w:pPr>
                    <w:keepNext w:val="0"/>
                    <w:keepLines w:val="0"/>
                    <w:pageBreakBefore w:val="0"/>
                    <w:suppressLineNumbers w:val="0"/>
                    <w:kinsoku/>
                    <w:wordWrap/>
                    <w:overflowPunct/>
                    <w:topLinePunct w:val="0"/>
                    <w:autoSpaceDE/>
                    <w:autoSpaceDN/>
                    <w:bidi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 w:val="21"/>
                      <w:szCs w:val="21"/>
                      <w:lang w:val="en-US" w:eastAsia="zh-CN"/>
                    </w:rPr>
                    <w:t>人群</w:t>
                  </w:r>
                </w:p>
              </w:tc>
              <w:tc>
                <w:tcPr>
                  <w:tcW w:w="688" w:type="pct"/>
                  <w:vMerge w:val="continue"/>
                  <w:tcBorders>
                    <w:tl2br w:val="nil"/>
                    <w:tr2bl w:val="nil"/>
                  </w:tcBorders>
                  <w:noWrap w:val="0"/>
                  <w:vAlign w:val="center"/>
                </w:tcPr>
                <w:p w14:paraId="71F58F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auto"/>
                      <w:kern w:val="2"/>
                      <w:sz w:val="21"/>
                      <w:szCs w:val="21"/>
                      <w:lang w:val="en-US" w:eastAsia="zh-CN" w:bidi="ar"/>
                    </w:rPr>
                  </w:pPr>
                </w:p>
              </w:tc>
              <w:tc>
                <w:tcPr>
                  <w:tcW w:w="485" w:type="pct"/>
                  <w:vMerge w:val="restart"/>
                  <w:tcBorders>
                    <w:tl2br w:val="nil"/>
                    <w:tr2bl w:val="nil"/>
                  </w:tcBorders>
                  <w:noWrap w:val="0"/>
                  <w:vAlign w:val="center"/>
                </w:tcPr>
                <w:p w14:paraId="4CB4CF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东侧</w:t>
                  </w:r>
                </w:p>
              </w:tc>
              <w:tc>
                <w:tcPr>
                  <w:tcW w:w="413" w:type="pct"/>
                  <w:vMerge w:val="restart"/>
                  <w:tcBorders>
                    <w:tl2br w:val="nil"/>
                    <w:tr2bl w:val="nil"/>
                  </w:tcBorders>
                  <w:noWrap w:val="0"/>
                  <w:vAlign w:val="center"/>
                </w:tcPr>
                <w:p w14:paraId="03F400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r>
            <w:tr w14:paraId="1120EF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2" w:type="pct"/>
                  <w:tcBorders>
                    <w:tl2br w:val="nil"/>
                    <w:tr2bl w:val="nil"/>
                  </w:tcBorders>
                  <w:noWrap w:val="0"/>
                  <w:vAlign w:val="center"/>
                </w:tcPr>
                <w:p w14:paraId="6D04AA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声环境</w:t>
                  </w:r>
                </w:p>
              </w:tc>
              <w:tc>
                <w:tcPr>
                  <w:tcW w:w="492" w:type="pct"/>
                  <w:tcBorders>
                    <w:tl2br w:val="nil"/>
                    <w:tr2bl w:val="nil"/>
                  </w:tcBorders>
                  <w:noWrap w:val="0"/>
                  <w:vAlign w:val="center"/>
                </w:tcPr>
                <w:p w14:paraId="431ED8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vertAlign w:val="baseline"/>
                      <w:lang w:val="en-US" w:eastAsia="zh-CN"/>
                    </w:rPr>
                    <w:t>云扬航空学校</w:t>
                  </w:r>
                </w:p>
              </w:tc>
              <w:tc>
                <w:tcPr>
                  <w:tcW w:w="785" w:type="pct"/>
                  <w:vMerge w:val="continue"/>
                  <w:tcBorders>
                    <w:tl2br w:val="nil"/>
                    <w:tr2bl w:val="nil"/>
                  </w:tcBorders>
                  <w:noWrap w:val="0"/>
                  <w:vAlign w:val="center"/>
                </w:tcPr>
                <w:p w14:paraId="30C13F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p>
              </w:tc>
              <w:tc>
                <w:tcPr>
                  <w:tcW w:w="690" w:type="pct"/>
                  <w:vMerge w:val="continue"/>
                  <w:tcBorders>
                    <w:tl2br w:val="nil"/>
                    <w:tr2bl w:val="nil"/>
                  </w:tcBorders>
                  <w:noWrap w:val="0"/>
                  <w:vAlign w:val="center"/>
                </w:tcPr>
                <w:p w14:paraId="04A988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p>
              </w:tc>
              <w:tc>
                <w:tcPr>
                  <w:tcW w:w="341" w:type="pct"/>
                  <w:vMerge w:val="continue"/>
                  <w:tcBorders>
                    <w:tl2br w:val="nil"/>
                    <w:tr2bl w:val="nil"/>
                  </w:tcBorders>
                  <w:noWrap w:val="0"/>
                  <w:vAlign w:val="center"/>
                </w:tcPr>
                <w:p w14:paraId="3DDCDF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p>
              </w:tc>
              <w:tc>
                <w:tcPr>
                  <w:tcW w:w="449" w:type="pct"/>
                  <w:vMerge w:val="continue"/>
                  <w:tcBorders>
                    <w:tl2br w:val="nil"/>
                    <w:tr2bl w:val="nil"/>
                  </w:tcBorders>
                  <w:noWrap w:val="0"/>
                  <w:vAlign w:val="center"/>
                </w:tcPr>
                <w:p w14:paraId="0B2D11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p>
              </w:tc>
              <w:tc>
                <w:tcPr>
                  <w:tcW w:w="688" w:type="pct"/>
                  <w:tcBorders>
                    <w:tl2br w:val="nil"/>
                    <w:tr2bl w:val="nil"/>
                  </w:tcBorders>
                  <w:noWrap w:val="0"/>
                  <w:vAlign w:val="center"/>
                </w:tcPr>
                <w:p w14:paraId="77FBE1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二类声环境质量标准</w:t>
                  </w:r>
                </w:p>
              </w:tc>
              <w:tc>
                <w:tcPr>
                  <w:tcW w:w="485" w:type="pct"/>
                  <w:vMerge w:val="continue"/>
                  <w:tcBorders>
                    <w:tl2br w:val="nil"/>
                    <w:tr2bl w:val="nil"/>
                  </w:tcBorders>
                  <w:noWrap w:val="0"/>
                  <w:vAlign w:val="center"/>
                </w:tcPr>
                <w:p w14:paraId="4924B5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p>
              </w:tc>
              <w:tc>
                <w:tcPr>
                  <w:tcW w:w="413" w:type="pct"/>
                  <w:vMerge w:val="continue"/>
                  <w:tcBorders>
                    <w:tl2br w:val="nil"/>
                    <w:tr2bl w:val="nil"/>
                  </w:tcBorders>
                  <w:noWrap w:val="0"/>
                  <w:vAlign w:val="center"/>
                </w:tcPr>
                <w:p w14:paraId="7F1CAF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p>
              </w:tc>
            </w:tr>
            <w:tr w14:paraId="509E8A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2" w:type="pct"/>
                  <w:tcBorders>
                    <w:tl2br w:val="nil"/>
                    <w:tr2bl w:val="nil"/>
                  </w:tcBorders>
                  <w:noWrap w:val="0"/>
                  <w:vAlign w:val="center"/>
                </w:tcPr>
                <w:p w14:paraId="7C5B00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地下水环境</w:t>
                  </w:r>
                </w:p>
              </w:tc>
              <w:tc>
                <w:tcPr>
                  <w:tcW w:w="4347" w:type="pct"/>
                  <w:gridSpan w:val="8"/>
                  <w:tcBorders>
                    <w:tl2br w:val="nil"/>
                    <w:tr2bl w:val="nil"/>
                  </w:tcBorders>
                  <w:noWrap w:val="0"/>
                  <w:vAlign w:val="center"/>
                </w:tcPr>
                <w:p w14:paraId="17EA29B6">
                  <w:pPr>
                    <w:pStyle w:val="2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63" w:leftChars="-30" w:right="-63" w:rightChars="-3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厂界外500m范围内无地下水集中式饮用水水源和热水、矿泉水、温泉等特殊地下水资源</w:t>
                  </w:r>
                </w:p>
              </w:tc>
            </w:tr>
            <w:tr w14:paraId="0F17E7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2" w:type="pct"/>
                  <w:tcBorders>
                    <w:tl2br w:val="nil"/>
                    <w:tr2bl w:val="nil"/>
                  </w:tcBorders>
                  <w:noWrap w:val="0"/>
                  <w:vAlign w:val="center"/>
                </w:tcPr>
                <w:p w14:paraId="51C47D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生态环境</w:t>
                  </w:r>
                </w:p>
              </w:tc>
              <w:tc>
                <w:tcPr>
                  <w:tcW w:w="4347" w:type="pct"/>
                  <w:gridSpan w:val="8"/>
                  <w:tcBorders>
                    <w:tl2br w:val="nil"/>
                    <w:tr2bl w:val="nil"/>
                  </w:tcBorders>
                  <w:noWrap w:val="0"/>
                  <w:vAlign w:val="center"/>
                </w:tcPr>
                <w:p w14:paraId="54C45E40">
                  <w:pPr>
                    <w:pStyle w:val="2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63" w:leftChars="-30" w:right="-63" w:rightChars="-3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项目用地范围内无生态环境保护目标</w:t>
                  </w:r>
                </w:p>
              </w:tc>
            </w:tr>
          </w:tbl>
          <w:p w14:paraId="144F3348">
            <w:pPr>
              <w:keepNext w:val="0"/>
              <w:keepLines w:val="0"/>
              <w:suppressLineNumbers w:val="0"/>
              <w:adjustRightInd w:val="0"/>
              <w:snapToGrid w:val="0"/>
              <w:spacing w:before="0" w:beforeAutospacing="0" w:after="0" w:afterAutospacing="0"/>
              <w:ind w:left="0" w:right="0"/>
              <w:jc w:val="both"/>
              <w:rPr>
                <w:rFonts w:hint="default" w:ascii="宋体" w:hAnsi="宋体" w:cs="宋体"/>
                <w:color w:val="000000"/>
                <w:kern w:val="0"/>
                <w:szCs w:val="21"/>
              </w:rPr>
            </w:pPr>
          </w:p>
        </w:tc>
      </w:tr>
      <w:tr w14:paraId="3B912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2" w:type="dxa"/>
            <w:noWrap w:val="0"/>
            <w:tcMar>
              <w:left w:w="28" w:type="dxa"/>
              <w:right w:w="28" w:type="dxa"/>
            </w:tcMar>
            <w:vAlign w:val="center"/>
          </w:tcPr>
          <w:p w14:paraId="31D447F5">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污染</w:t>
            </w:r>
          </w:p>
          <w:p w14:paraId="3B8125E7">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物排</w:t>
            </w:r>
          </w:p>
          <w:p w14:paraId="3695E81D">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放控</w:t>
            </w:r>
          </w:p>
          <w:p w14:paraId="11C7023B">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制标</w:t>
            </w:r>
          </w:p>
          <w:p w14:paraId="20A010B3">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准</w:t>
            </w:r>
          </w:p>
        </w:tc>
        <w:tc>
          <w:tcPr>
            <w:tcW w:w="8068" w:type="dxa"/>
            <w:noWrap w:val="0"/>
            <w:vAlign w:val="center"/>
          </w:tcPr>
          <w:p w14:paraId="254BEC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水污染物排放标准</w:t>
            </w:r>
          </w:p>
          <w:p w14:paraId="06EC1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000000"/>
                <w:lang w:val="en-US" w:eastAsia="zh-CN"/>
              </w:rPr>
            </w:pPr>
            <w:r>
              <w:rPr>
                <w:rFonts w:hint="eastAsia"/>
                <w:color w:val="000000"/>
              </w:rPr>
              <w:t>项目外排废水</w:t>
            </w:r>
            <w:r>
              <w:rPr>
                <w:rFonts w:hint="eastAsia"/>
                <w:color w:val="000000"/>
                <w:lang w:val="en-US" w:eastAsia="zh-CN"/>
              </w:rPr>
              <w:t>主要为生活污水，</w:t>
            </w:r>
            <w:r>
              <w:rPr>
                <w:rFonts w:hint="eastAsia"/>
                <w:color w:val="000000"/>
              </w:rPr>
              <w:t>排放执行《污水综合排放标准》（GB8978-1996）表4三级标准，其中NH</w:t>
            </w:r>
            <w:r>
              <w:rPr>
                <w:rFonts w:hint="eastAsia"/>
                <w:color w:val="000000"/>
                <w:vertAlign w:val="subscript"/>
              </w:rPr>
              <w:t>3</w:t>
            </w:r>
            <w:r>
              <w:rPr>
                <w:rFonts w:hint="eastAsia"/>
                <w:color w:val="000000"/>
              </w:rPr>
              <w:t>-N</w:t>
            </w:r>
            <w:r>
              <w:rPr>
                <w:rFonts w:hint="eastAsia"/>
                <w:color w:val="000000"/>
                <w:lang w:eastAsia="zh-CN"/>
              </w:rPr>
              <w:t>、</w:t>
            </w:r>
            <w:r>
              <w:rPr>
                <w:rFonts w:hint="eastAsia"/>
                <w:color w:val="000000"/>
                <w:lang w:val="en-US" w:eastAsia="zh-CN"/>
              </w:rPr>
              <w:t>TN</w:t>
            </w:r>
            <w:r>
              <w:rPr>
                <w:rFonts w:hint="eastAsia"/>
                <w:color w:val="000000"/>
              </w:rPr>
              <w:t>指标应达到《污水排入城镇下水道水质标准》（GB/T31962-2015）表1中B级标准中的规定限值，</w:t>
            </w:r>
            <w:r>
              <w:rPr>
                <w:rFonts w:hint="eastAsia"/>
                <w:color w:val="000000"/>
                <w:lang w:val="en-US" w:eastAsia="zh-CN"/>
              </w:rPr>
              <w:t>惠西</w:t>
            </w:r>
            <w:r>
              <w:rPr>
                <w:rFonts w:hint="eastAsia"/>
                <w:color w:val="000000"/>
              </w:rPr>
              <w:t>污水处理厂</w:t>
            </w:r>
            <w:r>
              <w:rPr>
                <w:rFonts w:hint="eastAsia"/>
                <w:color w:val="000000"/>
                <w:lang w:val="en-US" w:eastAsia="zh-CN"/>
              </w:rPr>
              <w:t>出水水质</w:t>
            </w:r>
            <w:r>
              <w:rPr>
                <w:rFonts w:hint="eastAsia"/>
                <w:color w:val="000000"/>
              </w:rPr>
              <w:t>执行《</w:t>
            </w:r>
            <w:r>
              <w:rPr>
                <w:rFonts w:hint="eastAsia"/>
                <w:color w:val="000000"/>
                <w:lang w:val="en-US" w:eastAsia="zh-CN"/>
              </w:rPr>
              <w:t>城镇污水处理厂污染物排放标准</w:t>
            </w:r>
            <w:r>
              <w:rPr>
                <w:rFonts w:hint="eastAsia"/>
                <w:color w:val="000000"/>
              </w:rPr>
              <w:t>》（GB</w:t>
            </w:r>
            <w:r>
              <w:rPr>
                <w:rFonts w:hint="eastAsia"/>
                <w:color w:val="000000"/>
                <w:lang w:val="en-US" w:eastAsia="zh-CN"/>
              </w:rPr>
              <w:t>/T 18918-2002</w:t>
            </w:r>
            <w:r>
              <w:rPr>
                <w:rFonts w:hint="eastAsia"/>
                <w:color w:val="000000"/>
              </w:rPr>
              <w:t>）</w:t>
            </w:r>
            <w:r>
              <w:rPr>
                <w:rFonts w:hint="eastAsia"/>
                <w:color w:val="000000"/>
                <w:lang w:val="en-US" w:eastAsia="zh-CN"/>
              </w:rPr>
              <w:t>一级A标准。</w:t>
            </w:r>
          </w:p>
          <w:p w14:paraId="0FF0E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olor w:val="000000"/>
              </w:rPr>
            </w:pPr>
            <w:r>
              <w:rPr>
                <w:rFonts w:hint="eastAsia"/>
                <w:b/>
                <w:bCs/>
                <w:color w:val="000000"/>
              </w:rPr>
              <w:t>表</w:t>
            </w:r>
            <w:r>
              <w:rPr>
                <w:rFonts w:hint="eastAsia"/>
                <w:b/>
                <w:bCs/>
                <w:color w:val="000000"/>
                <w:lang w:val="en-US" w:eastAsia="zh-CN"/>
              </w:rPr>
              <w:t>3</w:t>
            </w:r>
            <w:r>
              <w:rPr>
                <w:rFonts w:hint="eastAsia"/>
                <w:b/>
                <w:bCs/>
                <w:color w:val="000000"/>
              </w:rPr>
              <w:t>-</w:t>
            </w:r>
            <w:r>
              <w:rPr>
                <w:rFonts w:hint="eastAsia"/>
                <w:b/>
                <w:bCs/>
                <w:color w:val="000000"/>
                <w:lang w:val="en-US" w:eastAsia="zh-CN"/>
              </w:rPr>
              <w:t xml:space="preserve">7 </w:t>
            </w:r>
            <w:r>
              <w:rPr>
                <w:rFonts w:hint="eastAsia"/>
                <w:b/>
                <w:bCs/>
                <w:color w:val="000000"/>
              </w:rPr>
              <w:t xml:space="preserve"> 本项目废水排放标准</w:t>
            </w:r>
            <w:r>
              <w:rPr>
                <w:rFonts w:hint="eastAsia"/>
                <w:b/>
                <w:bCs/>
                <w:color w:val="000000"/>
                <w:lang w:val="en-US" w:eastAsia="zh-CN"/>
              </w:rPr>
              <w:t xml:space="preserve">          </w:t>
            </w:r>
            <w:r>
              <w:rPr>
                <w:rFonts w:hint="eastAsia" w:ascii="宋体" w:hAnsi="宋体" w:eastAsia="宋体" w:cs="宋体"/>
                <w:b/>
                <w:bCs/>
                <w:color w:val="000000"/>
                <w:highlight w:val="none"/>
                <w:lang w:val="en-US" w:eastAsia="zh-CN"/>
              </w:rPr>
              <w:t>单位</w:t>
            </w:r>
            <w:r>
              <w:rPr>
                <w:rFonts w:hint="eastAsia"/>
                <w:b/>
                <w:bCs/>
                <w:color w:val="000000"/>
              </w:rPr>
              <w:t>mg/L（pH除外）</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745"/>
              <w:gridCol w:w="3869"/>
              <w:gridCol w:w="1721"/>
              <w:gridCol w:w="1517"/>
            </w:tblGrid>
            <w:tr w14:paraId="33A870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45" w:type="dxa"/>
                  <w:noWrap w:val="0"/>
                  <w:vAlign w:val="center"/>
                </w:tcPr>
                <w:p w14:paraId="4255996D">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类别</w:t>
                  </w:r>
                </w:p>
              </w:tc>
              <w:tc>
                <w:tcPr>
                  <w:tcW w:w="3869" w:type="dxa"/>
                  <w:noWrap w:val="0"/>
                  <w:vAlign w:val="center"/>
                </w:tcPr>
                <w:p w14:paraId="1879C2F7">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标准名称</w:t>
                  </w:r>
                </w:p>
              </w:tc>
              <w:tc>
                <w:tcPr>
                  <w:tcW w:w="1721" w:type="dxa"/>
                  <w:noWrap w:val="0"/>
                  <w:vAlign w:val="center"/>
                </w:tcPr>
                <w:p w14:paraId="09D1AA81">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项目</w:t>
                  </w:r>
                </w:p>
              </w:tc>
              <w:tc>
                <w:tcPr>
                  <w:tcW w:w="1517" w:type="dxa"/>
                  <w:noWrap w:val="0"/>
                  <w:vAlign w:val="center"/>
                </w:tcPr>
                <w:p w14:paraId="7074A3FC">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标准限值</w:t>
                  </w:r>
                </w:p>
              </w:tc>
            </w:tr>
            <w:tr w14:paraId="6784BAB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45" w:type="dxa"/>
                  <w:vMerge w:val="restart"/>
                  <w:noWrap w:val="0"/>
                  <w:vAlign w:val="center"/>
                </w:tcPr>
                <w:p w14:paraId="5156D38B">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废水</w:t>
                  </w:r>
                </w:p>
              </w:tc>
              <w:tc>
                <w:tcPr>
                  <w:tcW w:w="3869" w:type="dxa"/>
                  <w:vMerge w:val="restart"/>
                  <w:noWrap w:val="0"/>
                  <w:vAlign w:val="center"/>
                </w:tcPr>
                <w:p w14:paraId="408A198D">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《污水综合排放标准》</w:t>
                  </w:r>
                </w:p>
                <w:p w14:paraId="7FEB0907">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lang w:eastAsia="zh-CN"/>
                    </w:rPr>
                    <w:t>（</w:t>
                  </w:r>
                  <w:r>
                    <w:rPr>
                      <w:rFonts w:hint="eastAsia"/>
                      <w:color w:val="000000"/>
                    </w:rPr>
                    <w:t>GB8978-1996</w:t>
                  </w:r>
                  <w:r>
                    <w:rPr>
                      <w:rFonts w:hint="eastAsia"/>
                      <w:color w:val="000000"/>
                      <w:lang w:eastAsia="zh-CN"/>
                    </w:rPr>
                    <w:t>）</w:t>
                  </w:r>
                  <w:r>
                    <w:rPr>
                      <w:rFonts w:hint="eastAsia"/>
                      <w:color w:val="000000"/>
                    </w:rPr>
                    <w:t>表4三级标准</w:t>
                  </w:r>
                </w:p>
              </w:tc>
              <w:tc>
                <w:tcPr>
                  <w:tcW w:w="1721" w:type="dxa"/>
                  <w:noWrap w:val="0"/>
                  <w:vAlign w:val="center"/>
                </w:tcPr>
                <w:p w14:paraId="64016977">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pH</w:t>
                  </w:r>
                </w:p>
              </w:tc>
              <w:tc>
                <w:tcPr>
                  <w:tcW w:w="1517" w:type="dxa"/>
                  <w:noWrap w:val="0"/>
                  <w:vAlign w:val="center"/>
                </w:tcPr>
                <w:p w14:paraId="5B639334">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6～9</w:t>
                  </w:r>
                </w:p>
              </w:tc>
            </w:tr>
            <w:tr w14:paraId="0C97415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45" w:type="dxa"/>
                  <w:vMerge w:val="continue"/>
                  <w:noWrap w:val="0"/>
                  <w:vAlign w:val="center"/>
                </w:tcPr>
                <w:p w14:paraId="01D80F1B">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3869" w:type="dxa"/>
                  <w:vMerge w:val="continue"/>
                  <w:noWrap w:val="0"/>
                  <w:vAlign w:val="center"/>
                </w:tcPr>
                <w:p w14:paraId="7AF77EE2">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1721" w:type="dxa"/>
                  <w:noWrap w:val="0"/>
                  <w:vAlign w:val="center"/>
                </w:tcPr>
                <w:p w14:paraId="42472E80">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COD</w:t>
                  </w:r>
                </w:p>
              </w:tc>
              <w:tc>
                <w:tcPr>
                  <w:tcW w:w="1517" w:type="dxa"/>
                  <w:noWrap w:val="0"/>
                  <w:vAlign w:val="center"/>
                </w:tcPr>
                <w:p w14:paraId="425FDBAC">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500</w:t>
                  </w:r>
                </w:p>
              </w:tc>
            </w:tr>
            <w:tr w14:paraId="1190C07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45" w:type="dxa"/>
                  <w:vMerge w:val="continue"/>
                  <w:noWrap w:val="0"/>
                  <w:vAlign w:val="center"/>
                </w:tcPr>
                <w:p w14:paraId="110E2B5C">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3869" w:type="dxa"/>
                  <w:vMerge w:val="continue"/>
                  <w:noWrap w:val="0"/>
                  <w:vAlign w:val="center"/>
                </w:tcPr>
                <w:p w14:paraId="719362E2">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1721" w:type="dxa"/>
                  <w:noWrap w:val="0"/>
                  <w:vAlign w:val="center"/>
                </w:tcPr>
                <w:p w14:paraId="23963F54">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BOD</w:t>
                  </w:r>
                  <w:r>
                    <w:rPr>
                      <w:rFonts w:hint="eastAsia"/>
                      <w:color w:val="000000"/>
                      <w:vertAlign w:val="subscript"/>
                    </w:rPr>
                    <w:t>5</w:t>
                  </w:r>
                </w:p>
              </w:tc>
              <w:tc>
                <w:tcPr>
                  <w:tcW w:w="1517" w:type="dxa"/>
                  <w:noWrap w:val="0"/>
                  <w:vAlign w:val="center"/>
                </w:tcPr>
                <w:p w14:paraId="767B5601">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300</w:t>
                  </w:r>
                </w:p>
              </w:tc>
            </w:tr>
            <w:tr w14:paraId="570C9DE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45" w:type="dxa"/>
                  <w:vMerge w:val="continue"/>
                  <w:noWrap w:val="0"/>
                  <w:vAlign w:val="center"/>
                </w:tcPr>
                <w:p w14:paraId="349BB5ED">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3869" w:type="dxa"/>
                  <w:vMerge w:val="continue"/>
                  <w:noWrap w:val="0"/>
                  <w:vAlign w:val="center"/>
                </w:tcPr>
                <w:p w14:paraId="33DF7B20">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1721" w:type="dxa"/>
                  <w:noWrap w:val="0"/>
                  <w:vAlign w:val="center"/>
                </w:tcPr>
                <w:p w14:paraId="0A7FDC26">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SS</w:t>
                  </w:r>
                </w:p>
              </w:tc>
              <w:tc>
                <w:tcPr>
                  <w:tcW w:w="1517" w:type="dxa"/>
                  <w:noWrap w:val="0"/>
                  <w:vAlign w:val="center"/>
                </w:tcPr>
                <w:p w14:paraId="74CAF3A9">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400</w:t>
                  </w:r>
                </w:p>
              </w:tc>
            </w:tr>
            <w:tr w14:paraId="029F25F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64" w:hRule="atLeast"/>
                <w:jc w:val="center"/>
              </w:trPr>
              <w:tc>
                <w:tcPr>
                  <w:tcW w:w="745" w:type="dxa"/>
                  <w:vMerge w:val="continue"/>
                  <w:noWrap w:val="0"/>
                  <w:vAlign w:val="center"/>
                </w:tcPr>
                <w:p w14:paraId="42624BDB">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3869" w:type="dxa"/>
                  <w:vMerge w:val="restart"/>
                  <w:noWrap w:val="0"/>
                  <w:vAlign w:val="center"/>
                </w:tcPr>
                <w:p w14:paraId="6F99CA6D">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《污水排入城镇下水道水质标准》</w:t>
                  </w:r>
                  <w:r>
                    <w:rPr>
                      <w:rFonts w:hint="eastAsia"/>
                      <w:color w:val="000000"/>
                      <w:lang w:eastAsia="zh-CN"/>
                    </w:rPr>
                    <w:t>（</w:t>
                  </w:r>
                  <w:r>
                    <w:rPr>
                      <w:rFonts w:hint="eastAsia"/>
                      <w:color w:val="000000"/>
                    </w:rPr>
                    <w:t>GB/T31962-2015</w:t>
                  </w:r>
                  <w:r>
                    <w:rPr>
                      <w:rFonts w:hint="eastAsia"/>
                      <w:color w:val="000000"/>
                      <w:lang w:eastAsia="zh-CN"/>
                    </w:rPr>
                    <w:t>）</w:t>
                  </w:r>
                  <w:r>
                    <w:rPr>
                      <w:rFonts w:hint="eastAsia"/>
                      <w:color w:val="000000"/>
                    </w:rPr>
                    <w:t>的表1中B级标准</w:t>
                  </w:r>
                </w:p>
              </w:tc>
              <w:tc>
                <w:tcPr>
                  <w:tcW w:w="1721" w:type="dxa"/>
                  <w:noWrap w:val="0"/>
                  <w:vAlign w:val="center"/>
                </w:tcPr>
                <w:p w14:paraId="02A46D15">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NH</w:t>
                  </w:r>
                  <w:r>
                    <w:rPr>
                      <w:rFonts w:hint="eastAsia"/>
                      <w:color w:val="000000"/>
                      <w:vertAlign w:val="subscript"/>
                    </w:rPr>
                    <w:t>3</w:t>
                  </w:r>
                  <w:r>
                    <w:rPr>
                      <w:rFonts w:hint="eastAsia"/>
                      <w:color w:val="000000"/>
                    </w:rPr>
                    <w:t>-N</w:t>
                  </w:r>
                </w:p>
              </w:tc>
              <w:tc>
                <w:tcPr>
                  <w:tcW w:w="1517" w:type="dxa"/>
                  <w:noWrap w:val="0"/>
                  <w:vAlign w:val="center"/>
                </w:tcPr>
                <w:p w14:paraId="4034CD6C">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45</w:t>
                  </w:r>
                </w:p>
              </w:tc>
            </w:tr>
            <w:tr w14:paraId="4B2890D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64" w:hRule="atLeast"/>
                <w:jc w:val="center"/>
              </w:trPr>
              <w:tc>
                <w:tcPr>
                  <w:tcW w:w="745" w:type="dxa"/>
                  <w:vMerge w:val="continue"/>
                  <w:noWrap w:val="0"/>
                  <w:vAlign w:val="center"/>
                </w:tcPr>
                <w:p w14:paraId="2F7B316B">
                  <w:pPr>
                    <w:keepNext w:val="0"/>
                    <w:keepLines w:val="0"/>
                    <w:suppressLineNumbers w:val="0"/>
                    <w:snapToGrid w:val="0"/>
                    <w:spacing w:before="0" w:beforeAutospacing="0" w:after="0" w:afterAutospacing="0" w:line="240" w:lineRule="auto"/>
                    <w:ind w:left="0" w:right="0" w:firstLine="0" w:firstLineChars="0"/>
                    <w:jc w:val="center"/>
                  </w:pPr>
                </w:p>
              </w:tc>
              <w:tc>
                <w:tcPr>
                  <w:tcW w:w="3869" w:type="dxa"/>
                  <w:vMerge w:val="continue"/>
                  <w:noWrap w:val="0"/>
                  <w:vAlign w:val="center"/>
                </w:tcPr>
                <w:p w14:paraId="327D495B">
                  <w:pPr>
                    <w:keepNext w:val="0"/>
                    <w:keepLines w:val="0"/>
                    <w:suppressLineNumbers w:val="0"/>
                    <w:snapToGrid w:val="0"/>
                    <w:spacing w:before="0" w:beforeAutospacing="0" w:after="0" w:afterAutospacing="0" w:line="240" w:lineRule="auto"/>
                    <w:ind w:left="0" w:right="0" w:firstLine="0" w:firstLineChars="0"/>
                    <w:jc w:val="center"/>
                  </w:pPr>
                </w:p>
              </w:tc>
              <w:tc>
                <w:tcPr>
                  <w:tcW w:w="1721" w:type="dxa"/>
                  <w:noWrap w:val="0"/>
                  <w:vAlign w:val="center"/>
                </w:tcPr>
                <w:p w14:paraId="2CF7ACBC">
                  <w:pPr>
                    <w:keepNext w:val="0"/>
                    <w:keepLines w:val="0"/>
                    <w:suppressLineNumbers w:val="0"/>
                    <w:snapToGrid w:val="0"/>
                    <w:spacing w:before="0" w:beforeAutospacing="0" w:after="0" w:afterAutospacing="0" w:line="240" w:lineRule="auto"/>
                    <w:ind w:left="0" w:right="0" w:firstLine="0" w:firstLineChars="0"/>
                    <w:jc w:val="center"/>
                    <w:rPr>
                      <w:rFonts w:hint="default" w:eastAsia="宋体"/>
                      <w:color w:val="000000"/>
                      <w:lang w:val="en-US" w:eastAsia="zh-CN"/>
                    </w:rPr>
                  </w:pPr>
                  <w:r>
                    <w:rPr>
                      <w:rFonts w:hint="eastAsia"/>
                      <w:color w:val="000000"/>
                      <w:lang w:val="en-US" w:eastAsia="zh-CN"/>
                    </w:rPr>
                    <w:t>TN</w:t>
                  </w:r>
                </w:p>
              </w:tc>
              <w:tc>
                <w:tcPr>
                  <w:tcW w:w="1517" w:type="dxa"/>
                  <w:noWrap w:val="0"/>
                  <w:vAlign w:val="center"/>
                </w:tcPr>
                <w:p w14:paraId="7AED0B98">
                  <w:pPr>
                    <w:keepNext w:val="0"/>
                    <w:keepLines w:val="0"/>
                    <w:suppressLineNumbers w:val="0"/>
                    <w:snapToGrid w:val="0"/>
                    <w:spacing w:before="0" w:beforeAutospacing="0" w:after="0" w:afterAutospacing="0" w:line="240" w:lineRule="auto"/>
                    <w:ind w:left="0" w:right="0" w:firstLine="0" w:firstLineChars="0"/>
                    <w:jc w:val="center"/>
                    <w:rPr>
                      <w:rFonts w:hint="default" w:eastAsia="宋体"/>
                      <w:color w:val="000000"/>
                      <w:lang w:val="en-US" w:eastAsia="zh-CN"/>
                    </w:rPr>
                  </w:pPr>
                  <w:r>
                    <w:rPr>
                      <w:rFonts w:hint="eastAsia"/>
                      <w:color w:val="000000"/>
                      <w:lang w:val="en-US" w:eastAsia="zh-CN"/>
                    </w:rPr>
                    <w:t>70</w:t>
                  </w:r>
                </w:p>
              </w:tc>
            </w:tr>
            <w:tr w14:paraId="2248450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45" w:type="dxa"/>
                  <w:vMerge w:val="continue"/>
                  <w:noWrap w:val="0"/>
                  <w:vAlign w:val="center"/>
                </w:tcPr>
                <w:p w14:paraId="0C9377C9">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3869" w:type="dxa"/>
                  <w:vMerge w:val="restart"/>
                  <w:noWrap w:val="0"/>
                  <w:vAlign w:val="center"/>
                </w:tcPr>
                <w:p w14:paraId="21C53003">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lang w:eastAsia="zh-CN"/>
                    </w:rPr>
                  </w:pPr>
                  <w:r>
                    <w:rPr>
                      <w:rFonts w:hint="eastAsia"/>
                      <w:color w:val="000000"/>
                      <w:lang w:val="en-US" w:eastAsia="zh-CN"/>
                    </w:rPr>
                    <w:t>惠西</w:t>
                  </w:r>
                  <w:r>
                    <w:rPr>
                      <w:rFonts w:hint="eastAsia"/>
                      <w:color w:val="000000"/>
                      <w:lang w:eastAsia="zh-CN"/>
                    </w:rPr>
                    <w:t>污水处理厂出水水质要求</w:t>
                  </w:r>
                </w:p>
              </w:tc>
              <w:tc>
                <w:tcPr>
                  <w:tcW w:w="1721" w:type="dxa"/>
                  <w:noWrap w:val="0"/>
                  <w:vAlign w:val="center"/>
                </w:tcPr>
                <w:p w14:paraId="72160D9F">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pH</w:t>
                  </w:r>
                </w:p>
              </w:tc>
              <w:tc>
                <w:tcPr>
                  <w:tcW w:w="1517" w:type="dxa"/>
                  <w:noWrap w:val="0"/>
                  <w:vAlign w:val="center"/>
                </w:tcPr>
                <w:p w14:paraId="199A30F6">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6～9</w:t>
                  </w:r>
                </w:p>
              </w:tc>
            </w:tr>
            <w:tr w14:paraId="28C464E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45" w:type="dxa"/>
                  <w:vMerge w:val="continue"/>
                  <w:noWrap w:val="0"/>
                  <w:vAlign w:val="center"/>
                </w:tcPr>
                <w:p w14:paraId="6FECFDFD">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3869" w:type="dxa"/>
                  <w:vMerge w:val="continue"/>
                  <w:noWrap w:val="0"/>
                  <w:vAlign w:val="center"/>
                </w:tcPr>
                <w:p w14:paraId="57DDE882">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1721" w:type="dxa"/>
                  <w:noWrap w:val="0"/>
                  <w:vAlign w:val="center"/>
                </w:tcPr>
                <w:p w14:paraId="78F2F4B6">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COD</w:t>
                  </w:r>
                </w:p>
              </w:tc>
              <w:tc>
                <w:tcPr>
                  <w:tcW w:w="1517" w:type="dxa"/>
                  <w:noWrap w:val="0"/>
                  <w:vAlign w:val="center"/>
                </w:tcPr>
                <w:p w14:paraId="4395D5CF">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lang w:val="en-US" w:eastAsia="zh-CN"/>
                    </w:rPr>
                  </w:pPr>
                  <w:r>
                    <w:rPr>
                      <w:rFonts w:hint="eastAsia"/>
                      <w:color w:val="000000"/>
                      <w:lang w:val="en-US" w:eastAsia="zh-CN"/>
                    </w:rPr>
                    <w:t>50</w:t>
                  </w:r>
                </w:p>
              </w:tc>
            </w:tr>
            <w:tr w14:paraId="402C61E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45" w:type="dxa"/>
                  <w:vMerge w:val="continue"/>
                  <w:noWrap w:val="0"/>
                  <w:vAlign w:val="center"/>
                </w:tcPr>
                <w:p w14:paraId="0BD9D055">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3869" w:type="dxa"/>
                  <w:vMerge w:val="continue"/>
                  <w:noWrap w:val="0"/>
                  <w:vAlign w:val="center"/>
                </w:tcPr>
                <w:p w14:paraId="7156488E">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1721" w:type="dxa"/>
                  <w:noWrap w:val="0"/>
                  <w:vAlign w:val="center"/>
                </w:tcPr>
                <w:p w14:paraId="7BF730B9">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BOD</w:t>
                  </w:r>
                  <w:r>
                    <w:rPr>
                      <w:rFonts w:hint="eastAsia"/>
                      <w:color w:val="000000"/>
                      <w:vertAlign w:val="subscript"/>
                    </w:rPr>
                    <w:t>5</w:t>
                  </w:r>
                </w:p>
              </w:tc>
              <w:tc>
                <w:tcPr>
                  <w:tcW w:w="1517" w:type="dxa"/>
                  <w:noWrap w:val="0"/>
                  <w:vAlign w:val="center"/>
                </w:tcPr>
                <w:p w14:paraId="218A62E6">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lang w:val="en-US" w:eastAsia="zh-CN"/>
                    </w:rPr>
                  </w:pPr>
                  <w:r>
                    <w:rPr>
                      <w:rFonts w:hint="eastAsia"/>
                      <w:color w:val="000000"/>
                      <w:lang w:val="en-US" w:eastAsia="zh-CN"/>
                    </w:rPr>
                    <w:t>10</w:t>
                  </w:r>
                </w:p>
              </w:tc>
            </w:tr>
            <w:tr w14:paraId="170B7D2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45" w:type="dxa"/>
                  <w:vMerge w:val="continue"/>
                  <w:noWrap w:val="0"/>
                  <w:vAlign w:val="center"/>
                </w:tcPr>
                <w:p w14:paraId="72B233AE">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3869" w:type="dxa"/>
                  <w:vMerge w:val="continue"/>
                  <w:noWrap w:val="0"/>
                  <w:vAlign w:val="center"/>
                </w:tcPr>
                <w:p w14:paraId="63223185">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1721" w:type="dxa"/>
                  <w:noWrap w:val="0"/>
                  <w:vAlign w:val="center"/>
                </w:tcPr>
                <w:p w14:paraId="51304479">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rPr>
                    <w:t>SS</w:t>
                  </w:r>
                </w:p>
              </w:tc>
              <w:tc>
                <w:tcPr>
                  <w:tcW w:w="1517" w:type="dxa"/>
                  <w:noWrap w:val="0"/>
                  <w:vAlign w:val="center"/>
                </w:tcPr>
                <w:p w14:paraId="188EE1FF">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lang w:val="en-US" w:eastAsia="zh-CN"/>
                    </w:rPr>
                  </w:pPr>
                  <w:r>
                    <w:rPr>
                      <w:rFonts w:hint="eastAsia"/>
                      <w:color w:val="000000"/>
                      <w:lang w:val="en-US" w:eastAsia="zh-CN"/>
                    </w:rPr>
                    <w:t>10</w:t>
                  </w:r>
                </w:p>
              </w:tc>
            </w:tr>
            <w:tr w14:paraId="51FA969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45" w:type="dxa"/>
                  <w:vMerge w:val="continue"/>
                  <w:noWrap w:val="0"/>
                  <w:vAlign w:val="center"/>
                </w:tcPr>
                <w:p w14:paraId="418D13AB">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3869" w:type="dxa"/>
                  <w:vMerge w:val="continue"/>
                  <w:noWrap w:val="0"/>
                  <w:vAlign w:val="center"/>
                </w:tcPr>
                <w:p w14:paraId="4F29AE0F">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1721" w:type="dxa"/>
                  <w:noWrap w:val="0"/>
                  <w:vAlign w:val="center"/>
                </w:tcPr>
                <w:p w14:paraId="6FF56BB0">
                  <w:pPr>
                    <w:keepNext w:val="0"/>
                    <w:keepLines w:val="0"/>
                    <w:suppressLineNumbers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kern w:val="2"/>
                      <w:sz w:val="21"/>
                      <w:szCs w:val="24"/>
                      <w:lang w:val="en-US" w:eastAsia="zh-CN" w:bidi="ar-SA"/>
                    </w:rPr>
                  </w:pPr>
                  <w:r>
                    <w:rPr>
                      <w:rFonts w:hint="eastAsia"/>
                      <w:color w:val="000000"/>
                    </w:rPr>
                    <w:t>NH</w:t>
                  </w:r>
                  <w:r>
                    <w:rPr>
                      <w:rFonts w:hint="eastAsia"/>
                      <w:color w:val="000000"/>
                      <w:vertAlign w:val="subscript"/>
                    </w:rPr>
                    <w:t>3</w:t>
                  </w:r>
                  <w:r>
                    <w:rPr>
                      <w:rFonts w:hint="eastAsia"/>
                      <w:color w:val="000000"/>
                    </w:rPr>
                    <w:t>-N</w:t>
                  </w:r>
                </w:p>
              </w:tc>
              <w:tc>
                <w:tcPr>
                  <w:tcW w:w="1517" w:type="dxa"/>
                  <w:noWrap w:val="0"/>
                  <w:vAlign w:val="center"/>
                </w:tcPr>
                <w:p w14:paraId="208AA33E">
                  <w:pPr>
                    <w:keepNext w:val="0"/>
                    <w:keepLines w:val="0"/>
                    <w:suppressLineNumbers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5（8）</w:t>
                  </w:r>
                  <w:r>
                    <w:rPr>
                      <w:rFonts w:hint="eastAsia" w:ascii="Times New Roman" w:hAnsi="Times New Roman" w:eastAsia="宋体" w:cs="Times New Roman"/>
                      <w:color w:val="000000"/>
                      <w:sz w:val="18"/>
                      <w:szCs w:val="18"/>
                      <w:vertAlign w:val="superscript"/>
                      <w:lang w:val="en-US" w:eastAsia="zh-CN"/>
                    </w:rPr>
                    <w:t>①</w:t>
                  </w:r>
                </w:p>
              </w:tc>
            </w:tr>
            <w:tr w14:paraId="2C7F1F9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45" w:type="dxa"/>
                  <w:vMerge w:val="continue"/>
                  <w:noWrap w:val="0"/>
                  <w:vAlign w:val="center"/>
                </w:tcPr>
                <w:p w14:paraId="5EFA5788">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3869" w:type="dxa"/>
                  <w:vMerge w:val="continue"/>
                  <w:noWrap w:val="0"/>
                  <w:vAlign w:val="center"/>
                </w:tcPr>
                <w:p w14:paraId="4927B6E9">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p>
              </w:tc>
              <w:tc>
                <w:tcPr>
                  <w:tcW w:w="1721" w:type="dxa"/>
                  <w:noWrap w:val="0"/>
                  <w:vAlign w:val="center"/>
                </w:tcPr>
                <w:p w14:paraId="5F271E8A">
                  <w:pPr>
                    <w:keepNext w:val="0"/>
                    <w:keepLines w:val="0"/>
                    <w:suppressLineNumbers w:val="0"/>
                    <w:snapToGrid w:val="0"/>
                    <w:spacing w:before="0" w:beforeAutospacing="0" w:after="0" w:afterAutospacing="0" w:line="240" w:lineRule="auto"/>
                    <w:ind w:left="0" w:right="0" w:firstLine="0" w:firstLineChars="0"/>
                    <w:jc w:val="center"/>
                    <w:rPr>
                      <w:rFonts w:hint="eastAsia"/>
                      <w:color w:val="000000"/>
                    </w:rPr>
                  </w:pPr>
                  <w:r>
                    <w:rPr>
                      <w:rFonts w:hint="eastAsia"/>
                      <w:color w:val="000000"/>
                      <w:lang w:val="en-US" w:eastAsia="zh-CN"/>
                    </w:rPr>
                    <w:t>T</w:t>
                  </w:r>
                  <w:r>
                    <w:rPr>
                      <w:rFonts w:hint="eastAsia"/>
                      <w:color w:val="000000"/>
                    </w:rPr>
                    <w:t>N</w:t>
                  </w:r>
                </w:p>
              </w:tc>
              <w:tc>
                <w:tcPr>
                  <w:tcW w:w="1517" w:type="dxa"/>
                  <w:noWrap w:val="0"/>
                  <w:vAlign w:val="center"/>
                </w:tcPr>
                <w:p w14:paraId="05A9F6B4">
                  <w:pPr>
                    <w:keepNext w:val="0"/>
                    <w:keepLines w:val="0"/>
                    <w:suppressLineNumbers w:val="0"/>
                    <w:snapToGrid w:val="0"/>
                    <w:spacing w:before="0" w:beforeAutospacing="0" w:after="0" w:afterAutospacing="0" w:line="240" w:lineRule="auto"/>
                    <w:ind w:left="0" w:right="0" w:firstLine="0" w:firstLineChars="0"/>
                    <w:jc w:val="center"/>
                    <w:rPr>
                      <w:rFonts w:hint="default"/>
                      <w:color w:val="000000"/>
                      <w:lang w:val="en-US" w:eastAsia="zh-CN"/>
                    </w:rPr>
                  </w:pPr>
                  <w:r>
                    <w:rPr>
                      <w:rFonts w:hint="eastAsia"/>
                      <w:color w:val="000000"/>
                      <w:lang w:val="en-US" w:eastAsia="zh-CN"/>
                    </w:rPr>
                    <w:t>15</w:t>
                  </w:r>
                </w:p>
              </w:tc>
            </w:tr>
            <w:tr w14:paraId="66EE7D9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852" w:type="dxa"/>
                  <w:gridSpan w:val="4"/>
                  <w:noWrap w:val="0"/>
                  <w:vAlign w:val="center"/>
                </w:tcPr>
                <w:p w14:paraId="08B27F95">
                  <w:pPr>
                    <w:keepNext w:val="0"/>
                    <w:keepLines w:val="0"/>
                    <w:suppressLineNumbers w:val="0"/>
                    <w:snapToGrid w:val="0"/>
                    <w:spacing w:before="0" w:beforeAutospacing="0" w:after="0" w:afterAutospacing="0" w:line="240" w:lineRule="auto"/>
                    <w:ind w:left="0" w:right="0" w:firstLine="0" w:firstLineChars="0"/>
                    <w:jc w:val="left"/>
                    <w:rPr>
                      <w:rFonts w:hint="default"/>
                      <w:color w:val="000000"/>
                      <w:lang w:val="en-US" w:eastAsia="zh-CN"/>
                    </w:rPr>
                  </w:pPr>
                  <w:r>
                    <w:rPr>
                      <w:rFonts w:hint="default" w:ascii="Times New Roman" w:hAnsi="Times New Roman" w:eastAsia="宋体" w:cs="Times New Roman"/>
                      <w:color w:val="000000"/>
                      <w:sz w:val="18"/>
                      <w:szCs w:val="18"/>
                      <w:lang w:val="en-US" w:eastAsia="zh-CN"/>
                    </w:rPr>
                    <w:t>注：①括号外数值为水温&gt;12℃时的控制标准，括号内数值为水温≤12摄氏度时的控制指标。</w:t>
                  </w:r>
                </w:p>
              </w:tc>
            </w:tr>
          </w:tbl>
          <w:p w14:paraId="7AF0A23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firstLine="420" w:firstLineChars="200"/>
              <w:textAlignment w:val="auto"/>
              <w:rPr>
                <w:rFonts w:hint="eastAsia"/>
                <w:color w:val="000000"/>
                <w:sz w:val="21"/>
                <w:szCs w:val="21"/>
              </w:rPr>
            </w:pP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w:t>
            </w:r>
            <w:r>
              <w:rPr>
                <w:rFonts w:hint="eastAsia"/>
                <w:color w:val="000000"/>
                <w:sz w:val="21"/>
                <w:szCs w:val="21"/>
              </w:rPr>
              <w:t>大气污染物排放标准</w:t>
            </w:r>
          </w:p>
          <w:p w14:paraId="39CE2D4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firstLine="420" w:firstLineChars="200"/>
              <w:textAlignment w:val="auto"/>
              <w:rPr>
                <w:rFonts w:hint="eastAsia"/>
                <w:color w:val="auto"/>
                <w:sz w:val="21"/>
                <w:szCs w:val="21"/>
                <w:lang w:val="en-US" w:eastAsia="zh-CN"/>
              </w:rPr>
            </w:pPr>
            <w:r>
              <w:rPr>
                <w:rFonts w:hint="default"/>
                <w:color w:val="000000"/>
                <w:sz w:val="21"/>
                <w:szCs w:val="21"/>
                <w:lang w:val="en-US" w:eastAsia="zh-CN"/>
              </w:rPr>
              <w:t>项目主要废气为</w:t>
            </w:r>
            <w:r>
              <w:rPr>
                <w:rFonts w:hint="eastAsia"/>
                <w:color w:val="000000"/>
                <w:sz w:val="21"/>
                <w:szCs w:val="21"/>
                <w:lang w:val="en-US" w:eastAsia="zh-CN"/>
              </w:rPr>
              <w:t>木浆粉碎、芯体成型过程中产生的粉尘，</w:t>
            </w:r>
            <w:r>
              <w:rPr>
                <w:rFonts w:hint="default"/>
                <w:color w:val="000000"/>
                <w:sz w:val="21"/>
                <w:szCs w:val="21"/>
                <w:lang w:val="en-US" w:eastAsia="zh-CN"/>
              </w:rPr>
              <w:t>其主要污染物为</w:t>
            </w:r>
            <w:r>
              <w:rPr>
                <w:rFonts w:hint="eastAsia"/>
                <w:color w:val="auto"/>
                <w:sz w:val="21"/>
                <w:szCs w:val="21"/>
                <w:lang w:val="en-US" w:eastAsia="zh-CN"/>
              </w:rPr>
              <w:t>颗粒物。污染物排放标准如下：</w:t>
            </w:r>
          </w:p>
          <w:p w14:paraId="00B306A5">
            <w:pPr>
              <w:pStyle w:val="37"/>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000000"/>
                <w:sz w:val="21"/>
              </w:rPr>
            </w:pPr>
            <w:r>
              <w:rPr>
                <w:rFonts w:hint="default" w:ascii="Times New Roman" w:hAnsi="Times New Roman" w:eastAsia="宋体" w:cs="Times New Roman"/>
                <w:b/>
                <w:bCs/>
                <w:color w:val="000000"/>
                <w:sz w:val="21"/>
                <w:lang w:val="en-US" w:eastAsia="zh-CN"/>
              </w:rPr>
              <w:t>表3-</w:t>
            </w:r>
            <w:r>
              <w:rPr>
                <w:rFonts w:hint="eastAsia" w:cs="Times New Roman"/>
                <w:b/>
                <w:bCs/>
                <w:color w:val="000000"/>
                <w:sz w:val="21"/>
                <w:lang w:val="en-US" w:eastAsia="zh-CN"/>
              </w:rPr>
              <w:t xml:space="preserve">8 </w:t>
            </w:r>
            <w:r>
              <w:rPr>
                <w:rFonts w:hint="default" w:ascii="Times New Roman" w:hAnsi="Times New Roman" w:eastAsia="宋体" w:cs="Times New Roman"/>
                <w:b/>
                <w:bCs/>
                <w:color w:val="000000"/>
                <w:sz w:val="21"/>
                <w:lang w:val="en-US" w:eastAsia="zh-CN"/>
              </w:rPr>
              <w:t xml:space="preserve"> </w:t>
            </w:r>
            <w:r>
              <w:rPr>
                <w:rFonts w:hint="default" w:ascii="Times New Roman" w:hAnsi="Times New Roman" w:eastAsia="宋体" w:cs="Times New Roman"/>
                <w:b/>
                <w:bCs/>
                <w:color w:val="000000"/>
                <w:sz w:val="21"/>
              </w:rPr>
              <w:t>《大气污染物综合排放标准》（GB16297-1996）</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47"/>
              <w:gridCol w:w="1592"/>
              <w:gridCol w:w="1067"/>
              <w:gridCol w:w="1511"/>
              <w:gridCol w:w="1179"/>
              <w:gridCol w:w="1556"/>
            </w:tblGrid>
            <w:tr w14:paraId="4F804B2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3" w:type="pct"/>
                  <w:vMerge w:val="restart"/>
                  <w:noWrap w:val="0"/>
                  <w:vAlign w:val="center"/>
                </w:tcPr>
                <w:p w14:paraId="27AE2C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污染物</w:t>
                  </w:r>
                </w:p>
              </w:tc>
              <w:tc>
                <w:tcPr>
                  <w:tcW w:w="1013" w:type="pct"/>
                  <w:vMerge w:val="restart"/>
                  <w:noWrap w:val="0"/>
                  <w:vAlign w:val="center"/>
                </w:tcPr>
                <w:p w14:paraId="051F9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最高允许排放浓度（mg/m³）</w:t>
                  </w:r>
                </w:p>
              </w:tc>
              <w:tc>
                <w:tcPr>
                  <w:tcW w:w="679" w:type="pct"/>
                  <w:vMerge w:val="restart"/>
                  <w:noWrap w:val="0"/>
                  <w:vAlign w:val="center"/>
                </w:tcPr>
                <w:p w14:paraId="2F498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排气筒高度（m）</w:t>
                  </w:r>
                </w:p>
              </w:tc>
              <w:tc>
                <w:tcPr>
                  <w:tcW w:w="962" w:type="pct"/>
                  <w:vMerge w:val="restart"/>
                  <w:noWrap w:val="0"/>
                  <w:vAlign w:val="center"/>
                </w:tcPr>
                <w:p w14:paraId="6BA807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最高允许排放速率（kg/h）</w:t>
                  </w:r>
                </w:p>
              </w:tc>
              <w:tc>
                <w:tcPr>
                  <w:tcW w:w="1741" w:type="pct"/>
                  <w:gridSpan w:val="2"/>
                  <w:noWrap w:val="0"/>
                  <w:vAlign w:val="center"/>
                </w:tcPr>
                <w:p w14:paraId="18117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无组织排放监控浓度限值</w:t>
                  </w:r>
                </w:p>
              </w:tc>
            </w:tr>
            <w:tr w14:paraId="4F7425A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3" w:type="pct"/>
                  <w:vMerge w:val="continue"/>
                  <w:noWrap w:val="0"/>
                  <w:vAlign w:val="center"/>
                </w:tcPr>
                <w:p w14:paraId="41746C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rPr>
                  </w:pPr>
                </w:p>
              </w:tc>
              <w:tc>
                <w:tcPr>
                  <w:tcW w:w="1013" w:type="pct"/>
                  <w:vMerge w:val="continue"/>
                  <w:noWrap w:val="0"/>
                  <w:vAlign w:val="center"/>
                </w:tcPr>
                <w:p w14:paraId="0A8B8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rPr>
                  </w:pPr>
                </w:p>
              </w:tc>
              <w:tc>
                <w:tcPr>
                  <w:tcW w:w="679" w:type="pct"/>
                  <w:vMerge w:val="continue"/>
                  <w:noWrap w:val="0"/>
                  <w:vAlign w:val="center"/>
                </w:tcPr>
                <w:p w14:paraId="5D1BE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rPr>
                  </w:pPr>
                </w:p>
              </w:tc>
              <w:tc>
                <w:tcPr>
                  <w:tcW w:w="962" w:type="pct"/>
                  <w:vMerge w:val="continue"/>
                  <w:noWrap w:val="0"/>
                  <w:vAlign w:val="center"/>
                </w:tcPr>
                <w:p w14:paraId="33D16F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rPr>
                  </w:pPr>
                </w:p>
              </w:tc>
              <w:tc>
                <w:tcPr>
                  <w:tcW w:w="750" w:type="pct"/>
                  <w:noWrap w:val="0"/>
                  <w:vAlign w:val="center"/>
                </w:tcPr>
                <w:p w14:paraId="00D93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监控点</w:t>
                  </w:r>
                </w:p>
              </w:tc>
              <w:tc>
                <w:tcPr>
                  <w:tcW w:w="990" w:type="pct"/>
                  <w:noWrap w:val="0"/>
                  <w:vAlign w:val="center"/>
                </w:tcPr>
                <w:p w14:paraId="6AC122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浓度（mg/m³）</w:t>
                  </w:r>
                </w:p>
              </w:tc>
            </w:tr>
            <w:tr w14:paraId="53F1904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3" w:type="pct"/>
                  <w:noWrap w:val="0"/>
                  <w:vAlign w:val="center"/>
                </w:tcPr>
                <w:p w14:paraId="6106F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颗粒物</w:t>
                  </w:r>
                </w:p>
              </w:tc>
              <w:tc>
                <w:tcPr>
                  <w:tcW w:w="1013" w:type="pct"/>
                  <w:noWrap w:val="0"/>
                  <w:vAlign w:val="center"/>
                </w:tcPr>
                <w:p w14:paraId="7AC23E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120</w:t>
                  </w:r>
                </w:p>
              </w:tc>
              <w:tc>
                <w:tcPr>
                  <w:tcW w:w="679" w:type="pct"/>
                  <w:noWrap w:val="0"/>
                  <w:vAlign w:val="center"/>
                </w:tcPr>
                <w:p w14:paraId="47DA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15</w:t>
                  </w:r>
                </w:p>
              </w:tc>
              <w:tc>
                <w:tcPr>
                  <w:tcW w:w="962" w:type="pct"/>
                  <w:noWrap w:val="0"/>
                  <w:vAlign w:val="center"/>
                </w:tcPr>
                <w:p w14:paraId="12861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1.75</w:t>
                  </w:r>
                </w:p>
              </w:tc>
              <w:tc>
                <w:tcPr>
                  <w:tcW w:w="750" w:type="pct"/>
                  <w:noWrap w:val="0"/>
                  <w:vAlign w:val="center"/>
                </w:tcPr>
                <w:p w14:paraId="542BC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周界外浓度最高点</w:t>
                  </w:r>
                </w:p>
              </w:tc>
              <w:tc>
                <w:tcPr>
                  <w:tcW w:w="990" w:type="pct"/>
                  <w:noWrap w:val="0"/>
                  <w:vAlign w:val="center"/>
                </w:tcPr>
                <w:p w14:paraId="6CD272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1.0</w:t>
                  </w:r>
                </w:p>
              </w:tc>
            </w:tr>
            <w:tr w14:paraId="3DB6605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6"/>
                  <w:noWrap w:val="0"/>
                  <w:vAlign w:val="center"/>
                </w:tcPr>
                <w:p w14:paraId="4B02B0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sz w:val="18"/>
                      <w:szCs w:val="18"/>
                    </w:rPr>
                    <w:t>注：排气筒高度除须遵守表列排放速率值外，还应高出周围200米半径范围的建筑5米以上，不能达到该要求的排气筒，应按其高度对应的表列排放速率标准值严格50%执行。</w:t>
                  </w:r>
                </w:p>
              </w:tc>
            </w:tr>
          </w:tbl>
          <w:p w14:paraId="45B84B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2" w:firstLineChars="200"/>
              <w:textAlignment w:val="auto"/>
              <w:rPr>
                <w:rFonts w:hint="eastAsia"/>
                <w:b/>
                <w:bCs/>
                <w:color w:val="000000"/>
                <w:sz w:val="21"/>
                <w:szCs w:val="21"/>
              </w:rPr>
            </w:pPr>
            <w:r>
              <w:rPr>
                <w:rFonts w:hint="eastAsia"/>
                <w:b/>
                <w:bCs/>
                <w:color w:val="000000"/>
                <w:sz w:val="21"/>
                <w:szCs w:val="21"/>
                <w:lang w:eastAsia="zh-CN"/>
              </w:rPr>
              <w:t>（</w:t>
            </w:r>
            <w:r>
              <w:rPr>
                <w:rFonts w:hint="eastAsia"/>
                <w:b/>
                <w:bCs/>
                <w:color w:val="000000"/>
                <w:sz w:val="21"/>
                <w:szCs w:val="21"/>
                <w:lang w:val="en-US" w:eastAsia="zh-CN"/>
              </w:rPr>
              <w:t>3</w:t>
            </w:r>
            <w:r>
              <w:rPr>
                <w:rFonts w:hint="eastAsia"/>
                <w:b/>
                <w:bCs/>
                <w:color w:val="000000"/>
                <w:sz w:val="21"/>
                <w:szCs w:val="21"/>
                <w:lang w:eastAsia="zh-CN"/>
              </w:rPr>
              <w:t>）</w:t>
            </w:r>
            <w:r>
              <w:rPr>
                <w:rFonts w:hint="eastAsia"/>
                <w:b/>
                <w:bCs/>
                <w:color w:val="000000"/>
                <w:sz w:val="21"/>
                <w:szCs w:val="21"/>
              </w:rPr>
              <w:t>噪声排放标准</w:t>
            </w:r>
          </w:p>
          <w:p w14:paraId="0985F7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000000"/>
                <w:sz w:val="21"/>
                <w:szCs w:val="21"/>
              </w:rPr>
            </w:pPr>
            <w:r>
              <w:rPr>
                <w:rFonts w:hint="eastAsia"/>
                <w:color w:val="000000"/>
                <w:sz w:val="21"/>
                <w:szCs w:val="21"/>
              </w:rPr>
              <w:t>项目</w:t>
            </w:r>
            <w:r>
              <w:rPr>
                <w:rFonts w:hint="eastAsia"/>
                <w:color w:val="000000"/>
                <w:sz w:val="21"/>
                <w:szCs w:val="21"/>
                <w:lang w:val="en-US" w:eastAsia="zh-CN"/>
              </w:rPr>
              <w:t>厂界</w:t>
            </w:r>
            <w:r>
              <w:rPr>
                <w:rFonts w:hint="eastAsia"/>
                <w:color w:val="000000"/>
                <w:sz w:val="21"/>
                <w:szCs w:val="21"/>
              </w:rPr>
              <w:t>噪声执行《工业企业厂界环境噪声排放标准》（GB12348-2008）</w:t>
            </w:r>
            <w:r>
              <w:rPr>
                <w:rFonts w:hint="eastAsia"/>
                <w:color w:val="000000"/>
                <w:sz w:val="21"/>
                <w:szCs w:val="21"/>
                <w:lang w:val="en-US" w:eastAsia="zh-CN"/>
              </w:rPr>
              <w:t>3</w:t>
            </w:r>
            <w:r>
              <w:rPr>
                <w:rFonts w:hint="eastAsia"/>
                <w:color w:val="000000"/>
                <w:sz w:val="21"/>
                <w:szCs w:val="21"/>
                <w:lang w:eastAsia="zh-CN"/>
              </w:rPr>
              <w:t>类</w:t>
            </w:r>
            <w:r>
              <w:rPr>
                <w:rFonts w:hint="eastAsia"/>
                <w:color w:val="000000"/>
                <w:sz w:val="21"/>
                <w:szCs w:val="21"/>
              </w:rPr>
              <w:t>标准，厂界噪声排放标准见</w:t>
            </w:r>
            <w:r>
              <w:rPr>
                <w:rFonts w:hint="eastAsia"/>
                <w:color w:val="000000"/>
                <w:sz w:val="21"/>
                <w:szCs w:val="21"/>
                <w:lang w:eastAsia="zh-CN"/>
              </w:rPr>
              <w:t>下表</w:t>
            </w:r>
            <w:r>
              <w:rPr>
                <w:rFonts w:hint="eastAsia"/>
                <w:color w:val="000000"/>
                <w:sz w:val="21"/>
                <w:szCs w:val="21"/>
              </w:rPr>
              <w:t>。</w:t>
            </w:r>
          </w:p>
          <w:p w14:paraId="3964F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b/>
                <w:bCs/>
                <w:color w:val="000000"/>
                <w:sz w:val="21"/>
                <w:szCs w:val="21"/>
              </w:rPr>
            </w:pPr>
            <w:r>
              <w:rPr>
                <w:rFonts w:hint="eastAsia"/>
                <w:b/>
                <w:bCs/>
                <w:color w:val="000000"/>
                <w:sz w:val="21"/>
                <w:szCs w:val="21"/>
              </w:rPr>
              <w:t>表</w:t>
            </w:r>
            <w:r>
              <w:rPr>
                <w:rFonts w:hint="eastAsia"/>
                <w:b/>
                <w:bCs/>
                <w:color w:val="000000"/>
                <w:sz w:val="21"/>
                <w:szCs w:val="21"/>
                <w:lang w:val="en-US" w:eastAsia="zh-CN"/>
              </w:rPr>
              <w:t xml:space="preserve">3-9 </w:t>
            </w:r>
            <w:r>
              <w:rPr>
                <w:rFonts w:hint="eastAsia"/>
                <w:b/>
                <w:bCs/>
                <w:color w:val="000000"/>
                <w:sz w:val="21"/>
                <w:szCs w:val="21"/>
              </w:rPr>
              <w:t xml:space="preserve"> 厂界噪声排放标准</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027"/>
              <w:gridCol w:w="3523"/>
              <w:gridCol w:w="1200"/>
              <w:gridCol w:w="2102"/>
            </w:tblGrid>
            <w:tr w14:paraId="275DFF0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38" w:type="dxa"/>
                  <w:noWrap w:val="0"/>
                  <w:vAlign w:val="center"/>
                </w:tcPr>
                <w:p w14:paraId="1A93ADE3">
                  <w:pPr>
                    <w:keepNext w:val="0"/>
                    <w:keepLines w:val="0"/>
                    <w:suppressLineNumbers w:val="0"/>
                    <w:spacing w:before="0" w:beforeAutospacing="0" w:after="0" w:afterAutospacing="0" w:line="240" w:lineRule="auto"/>
                    <w:ind w:left="0" w:right="0"/>
                    <w:jc w:val="center"/>
                    <w:rPr>
                      <w:rFonts w:hint="eastAsia"/>
                      <w:b/>
                      <w:bCs/>
                      <w:color w:val="000000"/>
                      <w:sz w:val="21"/>
                      <w:szCs w:val="21"/>
                    </w:rPr>
                  </w:pPr>
                  <w:r>
                    <w:rPr>
                      <w:rFonts w:hint="eastAsia"/>
                      <w:b/>
                      <w:bCs/>
                      <w:color w:val="000000"/>
                      <w:sz w:val="21"/>
                      <w:szCs w:val="21"/>
                    </w:rPr>
                    <w:t>类别</w:t>
                  </w:r>
                </w:p>
              </w:tc>
              <w:tc>
                <w:tcPr>
                  <w:tcW w:w="3561" w:type="dxa"/>
                  <w:noWrap w:val="0"/>
                  <w:vAlign w:val="center"/>
                </w:tcPr>
                <w:p w14:paraId="5F41E698">
                  <w:pPr>
                    <w:keepNext w:val="0"/>
                    <w:keepLines w:val="0"/>
                    <w:suppressLineNumbers w:val="0"/>
                    <w:spacing w:before="0" w:beforeAutospacing="0" w:after="0" w:afterAutospacing="0" w:line="240" w:lineRule="auto"/>
                    <w:ind w:left="0" w:right="0"/>
                    <w:jc w:val="center"/>
                    <w:rPr>
                      <w:rFonts w:hint="eastAsia"/>
                      <w:b/>
                      <w:bCs/>
                      <w:color w:val="000000"/>
                      <w:sz w:val="21"/>
                      <w:szCs w:val="21"/>
                    </w:rPr>
                  </w:pPr>
                  <w:r>
                    <w:rPr>
                      <w:rFonts w:hint="eastAsia"/>
                      <w:b/>
                      <w:bCs/>
                      <w:color w:val="000000"/>
                      <w:sz w:val="21"/>
                      <w:szCs w:val="21"/>
                    </w:rPr>
                    <w:t>标准名称</w:t>
                  </w:r>
                </w:p>
              </w:tc>
              <w:tc>
                <w:tcPr>
                  <w:tcW w:w="1213" w:type="dxa"/>
                  <w:noWrap w:val="0"/>
                  <w:vAlign w:val="center"/>
                </w:tcPr>
                <w:p w14:paraId="0D4D3CC6">
                  <w:pPr>
                    <w:keepNext w:val="0"/>
                    <w:keepLines w:val="0"/>
                    <w:suppressLineNumbers w:val="0"/>
                    <w:spacing w:before="0" w:beforeAutospacing="0" w:after="0" w:afterAutospacing="0" w:line="240" w:lineRule="auto"/>
                    <w:ind w:left="0" w:right="0"/>
                    <w:jc w:val="center"/>
                    <w:rPr>
                      <w:rFonts w:hint="eastAsia"/>
                      <w:b/>
                      <w:bCs/>
                      <w:color w:val="000000"/>
                      <w:sz w:val="21"/>
                      <w:szCs w:val="21"/>
                    </w:rPr>
                  </w:pPr>
                  <w:r>
                    <w:rPr>
                      <w:rFonts w:hint="eastAsia"/>
                      <w:b/>
                      <w:bCs/>
                      <w:color w:val="000000"/>
                      <w:sz w:val="21"/>
                      <w:szCs w:val="21"/>
                    </w:rPr>
                    <w:t>项目</w:t>
                  </w:r>
                </w:p>
              </w:tc>
              <w:tc>
                <w:tcPr>
                  <w:tcW w:w="2125" w:type="dxa"/>
                  <w:noWrap w:val="0"/>
                  <w:vAlign w:val="center"/>
                </w:tcPr>
                <w:p w14:paraId="52CBFCD8">
                  <w:pPr>
                    <w:keepNext w:val="0"/>
                    <w:keepLines w:val="0"/>
                    <w:suppressLineNumbers w:val="0"/>
                    <w:spacing w:before="0" w:beforeAutospacing="0" w:after="0" w:afterAutospacing="0" w:line="240" w:lineRule="auto"/>
                    <w:ind w:left="0" w:right="0"/>
                    <w:jc w:val="center"/>
                    <w:rPr>
                      <w:rFonts w:hint="eastAsia"/>
                      <w:b/>
                      <w:bCs/>
                      <w:color w:val="000000"/>
                      <w:sz w:val="21"/>
                      <w:szCs w:val="21"/>
                    </w:rPr>
                  </w:pPr>
                  <w:r>
                    <w:rPr>
                      <w:rFonts w:hint="eastAsia"/>
                      <w:b/>
                      <w:bCs/>
                      <w:color w:val="000000"/>
                      <w:sz w:val="21"/>
                      <w:szCs w:val="21"/>
                    </w:rPr>
                    <w:t>标准限值</w:t>
                  </w:r>
                </w:p>
              </w:tc>
            </w:tr>
            <w:tr w14:paraId="75D3540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38" w:type="dxa"/>
                  <w:vMerge w:val="restart"/>
                  <w:noWrap w:val="0"/>
                  <w:vAlign w:val="center"/>
                </w:tcPr>
                <w:p w14:paraId="464F0D15">
                  <w:pPr>
                    <w:keepNext w:val="0"/>
                    <w:keepLines w:val="0"/>
                    <w:suppressLineNumbers w:val="0"/>
                    <w:spacing w:before="0" w:beforeAutospacing="0" w:after="0" w:afterAutospacing="0" w:line="240" w:lineRule="auto"/>
                    <w:ind w:left="0" w:right="0"/>
                    <w:jc w:val="center"/>
                    <w:rPr>
                      <w:rFonts w:hint="eastAsia"/>
                      <w:color w:val="000000"/>
                      <w:sz w:val="21"/>
                      <w:szCs w:val="21"/>
                    </w:rPr>
                  </w:pPr>
                  <w:r>
                    <w:rPr>
                      <w:rFonts w:hint="eastAsia"/>
                      <w:color w:val="000000"/>
                      <w:sz w:val="21"/>
                      <w:szCs w:val="21"/>
                    </w:rPr>
                    <w:t>厂界噪声</w:t>
                  </w:r>
                </w:p>
              </w:tc>
              <w:tc>
                <w:tcPr>
                  <w:tcW w:w="3561" w:type="dxa"/>
                  <w:vMerge w:val="restart"/>
                  <w:noWrap w:val="0"/>
                  <w:vAlign w:val="center"/>
                </w:tcPr>
                <w:p w14:paraId="02B1B19A">
                  <w:pPr>
                    <w:keepNext w:val="0"/>
                    <w:keepLines w:val="0"/>
                    <w:suppressLineNumbers w:val="0"/>
                    <w:spacing w:before="0" w:beforeAutospacing="0" w:after="0" w:afterAutospacing="0" w:line="240" w:lineRule="auto"/>
                    <w:ind w:left="0" w:right="0"/>
                    <w:jc w:val="center"/>
                    <w:rPr>
                      <w:rFonts w:hint="eastAsia"/>
                      <w:color w:val="000000"/>
                      <w:sz w:val="21"/>
                      <w:szCs w:val="21"/>
                    </w:rPr>
                  </w:pPr>
                  <w:r>
                    <w:rPr>
                      <w:rFonts w:hint="eastAsia"/>
                      <w:color w:val="000000"/>
                      <w:sz w:val="21"/>
                      <w:szCs w:val="21"/>
                    </w:rPr>
                    <w:t>《工业企业厂界环境噪声排放标准》（GB12348-2008）</w:t>
                  </w:r>
                  <w:r>
                    <w:rPr>
                      <w:rFonts w:hint="eastAsia"/>
                      <w:color w:val="000000"/>
                      <w:sz w:val="21"/>
                      <w:szCs w:val="21"/>
                      <w:lang w:val="en-US" w:eastAsia="zh-CN"/>
                    </w:rPr>
                    <w:t>3</w:t>
                  </w:r>
                  <w:r>
                    <w:rPr>
                      <w:rFonts w:hint="eastAsia"/>
                      <w:color w:val="000000"/>
                      <w:sz w:val="21"/>
                      <w:szCs w:val="21"/>
                    </w:rPr>
                    <w:t>类标准</w:t>
                  </w:r>
                </w:p>
              </w:tc>
              <w:tc>
                <w:tcPr>
                  <w:tcW w:w="1213" w:type="dxa"/>
                  <w:noWrap w:val="0"/>
                  <w:vAlign w:val="center"/>
                </w:tcPr>
                <w:p w14:paraId="1A61AF30">
                  <w:pPr>
                    <w:keepNext w:val="0"/>
                    <w:keepLines w:val="0"/>
                    <w:suppressLineNumbers w:val="0"/>
                    <w:spacing w:before="0" w:beforeAutospacing="0" w:after="0" w:afterAutospacing="0" w:line="240" w:lineRule="auto"/>
                    <w:ind w:left="0" w:right="0"/>
                    <w:jc w:val="center"/>
                    <w:rPr>
                      <w:rFonts w:hint="eastAsia"/>
                      <w:color w:val="000000"/>
                      <w:sz w:val="21"/>
                      <w:szCs w:val="21"/>
                    </w:rPr>
                  </w:pPr>
                  <w:r>
                    <w:rPr>
                      <w:rFonts w:hint="eastAsia"/>
                      <w:color w:val="000000"/>
                      <w:sz w:val="21"/>
                      <w:szCs w:val="21"/>
                    </w:rPr>
                    <w:t>昼间</w:t>
                  </w:r>
                </w:p>
              </w:tc>
              <w:tc>
                <w:tcPr>
                  <w:tcW w:w="2125" w:type="dxa"/>
                  <w:noWrap w:val="0"/>
                  <w:vAlign w:val="center"/>
                </w:tcPr>
                <w:p w14:paraId="16E2ED94">
                  <w:pPr>
                    <w:keepNext w:val="0"/>
                    <w:keepLines w:val="0"/>
                    <w:suppressLineNumbers w:val="0"/>
                    <w:spacing w:before="0" w:beforeAutospacing="0" w:after="0" w:afterAutospacing="0" w:line="240" w:lineRule="auto"/>
                    <w:ind w:left="0" w:right="0"/>
                    <w:jc w:val="center"/>
                    <w:rPr>
                      <w:rFonts w:hint="eastAsia"/>
                      <w:color w:val="000000"/>
                      <w:sz w:val="21"/>
                      <w:szCs w:val="21"/>
                    </w:rPr>
                  </w:pPr>
                  <w:r>
                    <w:rPr>
                      <w:rFonts w:hint="eastAsia"/>
                      <w:color w:val="000000"/>
                      <w:sz w:val="21"/>
                      <w:szCs w:val="21"/>
                    </w:rPr>
                    <w:t>6</w:t>
                  </w:r>
                  <w:r>
                    <w:rPr>
                      <w:rFonts w:hint="eastAsia"/>
                      <w:color w:val="000000"/>
                      <w:sz w:val="21"/>
                      <w:szCs w:val="21"/>
                      <w:lang w:val="en-US" w:eastAsia="zh-CN"/>
                    </w:rPr>
                    <w:t>5</w:t>
                  </w:r>
                  <w:r>
                    <w:rPr>
                      <w:rFonts w:hint="eastAsia"/>
                      <w:color w:val="000000"/>
                      <w:sz w:val="21"/>
                      <w:szCs w:val="21"/>
                    </w:rPr>
                    <w:t>dB(A)</w:t>
                  </w:r>
                </w:p>
              </w:tc>
            </w:tr>
            <w:tr w14:paraId="72CACC9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038" w:type="dxa"/>
                  <w:vMerge w:val="continue"/>
                  <w:noWrap w:val="0"/>
                  <w:vAlign w:val="center"/>
                </w:tcPr>
                <w:p w14:paraId="021DF741">
                  <w:pPr>
                    <w:keepNext w:val="0"/>
                    <w:keepLines w:val="0"/>
                    <w:suppressLineNumbers w:val="0"/>
                    <w:spacing w:before="0" w:beforeAutospacing="0" w:after="0" w:afterAutospacing="0" w:line="240" w:lineRule="auto"/>
                    <w:ind w:left="0" w:right="0"/>
                    <w:jc w:val="center"/>
                    <w:rPr>
                      <w:rFonts w:hint="eastAsia"/>
                      <w:color w:val="000000"/>
                      <w:sz w:val="21"/>
                      <w:szCs w:val="21"/>
                    </w:rPr>
                  </w:pPr>
                </w:p>
              </w:tc>
              <w:tc>
                <w:tcPr>
                  <w:tcW w:w="3561" w:type="dxa"/>
                  <w:vMerge w:val="continue"/>
                  <w:noWrap w:val="0"/>
                  <w:vAlign w:val="center"/>
                </w:tcPr>
                <w:p w14:paraId="184EAA3B">
                  <w:pPr>
                    <w:keepNext w:val="0"/>
                    <w:keepLines w:val="0"/>
                    <w:suppressLineNumbers w:val="0"/>
                    <w:spacing w:before="0" w:beforeAutospacing="0" w:after="0" w:afterAutospacing="0" w:line="240" w:lineRule="auto"/>
                    <w:ind w:left="0" w:right="0"/>
                    <w:jc w:val="center"/>
                    <w:rPr>
                      <w:rFonts w:hint="eastAsia"/>
                      <w:color w:val="000000"/>
                      <w:sz w:val="21"/>
                      <w:szCs w:val="21"/>
                    </w:rPr>
                  </w:pPr>
                </w:p>
              </w:tc>
              <w:tc>
                <w:tcPr>
                  <w:tcW w:w="1213" w:type="dxa"/>
                  <w:noWrap w:val="0"/>
                  <w:vAlign w:val="center"/>
                </w:tcPr>
                <w:p w14:paraId="7030344A">
                  <w:pPr>
                    <w:keepNext w:val="0"/>
                    <w:keepLines w:val="0"/>
                    <w:suppressLineNumbers w:val="0"/>
                    <w:spacing w:before="0" w:beforeAutospacing="0" w:after="0" w:afterAutospacing="0" w:line="240" w:lineRule="auto"/>
                    <w:ind w:left="0" w:right="0"/>
                    <w:jc w:val="center"/>
                    <w:rPr>
                      <w:rFonts w:hint="eastAsia"/>
                      <w:color w:val="000000"/>
                      <w:sz w:val="21"/>
                      <w:szCs w:val="21"/>
                    </w:rPr>
                  </w:pPr>
                  <w:r>
                    <w:rPr>
                      <w:rFonts w:hint="eastAsia"/>
                      <w:color w:val="000000"/>
                      <w:sz w:val="21"/>
                      <w:szCs w:val="21"/>
                    </w:rPr>
                    <w:t>夜间</w:t>
                  </w:r>
                </w:p>
              </w:tc>
              <w:tc>
                <w:tcPr>
                  <w:tcW w:w="2125" w:type="dxa"/>
                  <w:noWrap w:val="0"/>
                  <w:vAlign w:val="center"/>
                </w:tcPr>
                <w:p w14:paraId="4C1A600A">
                  <w:pPr>
                    <w:keepNext w:val="0"/>
                    <w:keepLines w:val="0"/>
                    <w:suppressLineNumbers w:val="0"/>
                    <w:spacing w:before="0" w:beforeAutospacing="0" w:after="0" w:afterAutospacing="0" w:line="240" w:lineRule="auto"/>
                    <w:ind w:left="0" w:right="0"/>
                    <w:jc w:val="center"/>
                    <w:rPr>
                      <w:rFonts w:hint="eastAsia"/>
                      <w:color w:val="000000"/>
                      <w:sz w:val="21"/>
                      <w:szCs w:val="21"/>
                    </w:rPr>
                  </w:pPr>
                  <w:r>
                    <w:rPr>
                      <w:rFonts w:hint="eastAsia"/>
                      <w:color w:val="000000"/>
                      <w:sz w:val="21"/>
                      <w:szCs w:val="21"/>
                    </w:rPr>
                    <w:t>5</w:t>
                  </w:r>
                  <w:r>
                    <w:rPr>
                      <w:rFonts w:hint="eastAsia"/>
                      <w:color w:val="000000"/>
                      <w:sz w:val="21"/>
                      <w:szCs w:val="21"/>
                      <w:lang w:val="en-US" w:eastAsia="zh-CN"/>
                    </w:rPr>
                    <w:t>5</w:t>
                  </w:r>
                  <w:r>
                    <w:rPr>
                      <w:rFonts w:hint="eastAsia"/>
                      <w:color w:val="000000"/>
                      <w:sz w:val="21"/>
                      <w:szCs w:val="21"/>
                    </w:rPr>
                    <w:t>dB(A)</w:t>
                  </w:r>
                </w:p>
              </w:tc>
            </w:tr>
          </w:tbl>
          <w:p w14:paraId="662085BA">
            <w:pPr>
              <w:pStyle w:val="8"/>
              <w:keepNext/>
              <w:keepLines/>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22" w:firstLineChars="200"/>
              <w:textAlignment w:val="auto"/>
              <w:rPr>
                <w:rFonts w:hint="eastAsia"/>
                <w:color w:val="000000"/>
                <w:sz w:val="21"/>
                <w:szCs w:val="21"/>
              </w:rPr>
            </w:pPr>
            <w:r>
              <w:rPr>
                <w:rFonts w:hint="eastAsia"/>
                <w:color w:val="000000"/>
                <w:sz w:val="21"/>
                <w:szCs w:val="21"/>
                <w:lang w:eastAsia="zh-CN"/>
              </w:rPr>
              <w:t>（</w:t>
            </w:r>
            <w:r>
              <w:rPr>
                <w:rFonts w:hint="eastAsia"/>
                <w:color w:val="000000"/>
                <w:sz w:val="21"/>
                <w:szCs w:val="21"/>
                <w:lang w:val="en-US" w:eastAsia="zh-CN"/>
              </w:rPr>
              <w:t>4</w:t>
            </w:r>
            <w:r>
              <w:rPr>
                <w:rFonts w:hint="eastAsia"/>
                <w:color w:val="000000"/>
                <w:sz w:val="21"/>
                <w:szCs w:val="21"/>
                <w:lang w:eastAsia="zh-CN"/>
              </w:rPr>
              <w:t>）</w:t>
            </w:r>
            <w:r>
              <w:rPr>
                <w:rFonts w:hint="eastAsia"/>
                <w:color w:val="000000"/>
                <w:sz w:val="21"/>
                <w:szCs w:val="21"/>
              </w:rPr>
              <w:t>固体废物排放标准</w:t>
            </w:r>
          </w:p>
          <w:p w14:paraId="0C8DDBF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firstLine="420" w:firstLineChars="200"/>
              <w:textAlignment w:val="auto"/>
              <w:rPr>
                <w:rFonts w:hint="eastAsia"/>
                <w:color w:val="000000"/>
                <w:sz w:val="21"/>
                <w:szCs w:val="21"/>
              </w:rPr>
            </w:pPr>
            <w:r>
              <w:rPr>
                <w:rFonts w:hint="eastAsia"/>
                <w:color w:val="000000"/>
                <w:sz w:val="21"/>
                <w:szCs w:val="21"/>
                <w:lang w:val="en-US" w:eastAsia="zh-CN"/>
              </w:rPr>
              <w:t>一般工业固体废物贮存、处置参照《一般工业固体废物贮存和填埋污染控制标准》（GB18599-2020）及《泉州市生态环境局关于加强一般工业固体废物产生单位环境管理工作的通知》（泉环保固管</w:t>
            </w:r>
            <w:r>
              <w:rPr>
                <w:rFonts w:hint="default" w:ascii="Times New Roman" w:hAnsi="Times New Roman" w:eastAsia="宋体" w:cs="宋体"/>
                <w:color w:val="000000"/>
                <w:szCs w:val="21"/>
                <w:lang w:val="en-US" w:eastAsia="zh-CN"/>
              </w:rPr>
              <w:t>[2023]</w:t>
            </w:r>
            <w:r>
              <w:rPr>
                <w:rFonts w:hint="eastAsia"/>
                <w:color w:val="000000"/>
                <w:sz w:val="21"/>
                <w:szCs w:val="21"/>
                <w:lang w:val="en-US" w:eastAsia="zh-CN"/>
              </w:rPr>
              <w:t>11号）执行</w:t>
            </w:r>
            <w:r>
              <w:rPr>
                <w:rFonts w:hint="eastAsia"/>
                <w:color w:val="000000"/>
                <w:sz w:val="21"/>
                <w:szCs w:val="21"/>
              </w:rPr>
              <w:t>。</w:t>
            </w:r>
          </w:p>
          <w:p w14:paraId="585AF5BF">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ind w:right="0" w:firstLine="420" w:firstLineChars="200"/>
              <w:jc w:val="both"/>
              <w:textAlignment w:val="auto"/>
              <w:rPr>
                <w:rFonts w:hint="eastAsia"/>
                <w:color w:val="000000"/>
                <w:sz w:val="21"/>
                <w:szCs w:val="21"/>
                <w:lang w:val="en-US" w:eastAsia="zh-CN"/>
              </w:rPr>
            </w:pPr>
            <w:r>
              <w:rPr>
                <w:rFonts w:hint="default" w:ascii="宋体" w:hAnsi="宋体" w:eastAsia="宋体" w:cs="宋体"/>
                <w:b w:val="0"/>
                <w:bCs w:val="0"/>
                <w:color w:val="000000"/>
                <w:kern w:val="0"/>
                <w:sz w:val="21"/>
                <w:szCs w:val="18"/>
                <w:lang w:val="en-US" w:eastAsia="zh-CN"/>
              </w:rPr>
              <w:t>危险工业固体废物贮存、处置执行《危险废物贮存污染控制标准》（</w:t>
            </w:r>
            <w:r>
              <w:rPr>
                <w:rFonts w:hint="default" w:ascii="Times New Roman" w:hAnsi="Times New Roman" w:eastAsia="宋体" w:cs="Times New Roman"/>
                <w:b w:val="0"/>
                <w:bCs w:val="0"/>
                <w:color w:val="000000"/>
                <w:kern w:val="0"/>
                <w:sz w:val="21"/>
                <w:szCs w:val="18"/>
                <w:lang w:val="en-US" w:eastAsia="zh-CN"/>
              </w:rPr>
              <w:t>GB18597-2023</w:t>
            </w:r>
            <w:r>
              <w:rPr>
                <w:rFonts w:hint="default" w:ascii="宋体" w:hAnsi="宋体" w:eastAsia="宋体" w:cs="宋体"/>
                <w:b w:val="0"/>
                <w:bCs w:val="0"/>
                <w:color w:val="000000"/>
                <w:kern w:val="0"/>
                <w:sz w:val="21"/>
                <w:szCs w:val="18"/>
                <w:lang w:val="en-US" w:eastAsia="zh-CN"/>
              </w:rPr>
              <w:t>）。危险废物鉴别执行《危险废物鉴别标准 通则》（</w:t>
            </w:r>
            <w:r>
              <w:rPr>
                <w:rFonts w:hint="default" w:ascii="Times New Roman" w:hAnsi="Times New Roman" w:eastAsia="宋体" w:cs="Times New Roman"/>
                <w:b w:val="0"/>
                <w:bCs w:val="0"/>
                <w:color w:val="000000"/>
                <w:kern w:val="0"/>
                <w:sz w:val="21"/>
                <w:szCs w:val="18"/>
                <w:lang w:val="en-US" w:eastAsia="zh-CN"/>
              </w:rPr>
              <w:t>GB 5085.7-2019</w:t>
            </w:r>
            <w:r>
              <w:rPr>
                <w:rFonts w:hint="default" w:ascii="宋体" w:hAnsi="宋体" w:eastAsia="宋体" w:cs="宋体"/>
                <w:b w:val="0"/>
                <w:bCs w:val="0"/>
                <w:color w:val="000000"/>
                <w:kern w:val="0"/>
                <w:sz w:val="21"/>
                <w:szCs w:val="18"/>
                <w:lang w:val="en-US" w:eastAsia="zh-CN"/>
              </w:rPr>
              <w:t>）及其修改单标准。</w:t>
            </w:r>
          </w:p>
        </w:tc>
      </w:tr>
      <w:tr w14:paraId="278AC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22" w:type="dxa"/>
            <w:noWrap w:val="0"/>
            <w:vAlign w:val="center"/>
          </w:tcPr>
          <w:p w14:paraId="3C035573">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总量</w:t>
            </w:r>
          </w:p>
          <w:p w14:paraId="65DFE503">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控制</w:t>
            </w:r>
          </w:p>
          <w:p w14:paraId="1190105D">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指标</w:t>
            </w:r>
          </w:p>
        </w:tc>
        <w:tc>
          <w:tcPr>
            <w:tcW w:w="8068" w:type="dxa"/>
            <w:noWrap w:val="0"/>
            <w:vAlign w:val="top"/>
          </w:tcPr>
          <w:p w14:paraId="4D7CC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福建省政府已出台《关于推进排污权有偿使用和交易工作的意见（试行）》（闽政[2014]24号），实施排污权有偿使用和交易的污染物为国家实施总量的主要污染物，现阶段包括化学需氧量、氨氮、二氧化硫、氮氧化物。根据2017年9月13日环保部发布《“十三五”挥发性有机物污染防治工作方案》（环大气[2017]121号），严格涉VOC</w:t>
            </w:r>
            <w:r>
              <w:rPr>
                <w:rFonts w:hint="eastAsia" w:ascii="Times New Roman" w:hAnsi="Times New Roman" w:eastAsia="宋体" w:cs="Times New Roman"/>
                <w:color w:val="000000"/>
                <w:sz w:val="21"/>
                <w:szCs w:val="21"/>
                <w:vertAlign w:val="subscript"/>
                <w:lang w:val="en-US" w:eastAsia="zh-CN"/>
              </w:rPr>
              <w:t>S</w:t>
            </w:r>
            <w:r>
              <w:rPr>
                <w:rFonts w:hint="eastAsia" w:ascii="Times New Roman" w:hAnsi="Times New Roman" w:eastAsia="宋体" w:cs="Times New Roman"/>
                <w:color w:val="000000"/>
                <w:sz w:val="21"/>
                <w:szCs w:val="21"/>
                <w:lang w:val="en-US" w:eastAsia="zh-CN"/>
              </w:rPr>
              <w:t>建设项目环境影响评价，实行区域内 VOC</w:t>
            </w:r>
            <w:r>
              <w:rPr>
                <w:rFonts w:hint="eastAsia" w:ascii="Times New Roman" w:hAnsi="Times New Roman" w:eastAsia="宋体" w:cs="Times New Roman"/>
                <w:color w:val="000000"/>
                <w:sz w:val="21"/>
                <w:szCs w:val="21"/>
                <w:vertAlign w:val="subscript"/>
                <w:lang w:val="en-US" w:eastAsia="zh-CN"/>
              </w:rPr>
              <w:t>S</w:t>
            </w:r>
            <w:r>
              <w:rPr>
                <w:rFonts w:hint="eastAsia" w:ascii="Times New Roman" w:hAnsi="Times New Roman" w:eastAsia="宋体" w:cs="Times New Roman"/>
                <w:color w:val="000000"/>
                <w:sz w:val="21"/>
                <w:szCs w:val="21"/>
                <w:lang w:val="en-US" w:eastAsia="zh-CN"/>
              </w:rPr>
              <w:t xml:space="preserve"> 排放等量或倍量削减替代。考虑项目污染物实际排放情况，确定本项目总量控制因子如下：化学需氧量（COD）、氨氮（NH</w:t>
            </w:r>
            <w:r>
              <w:rPr>
                <w:rFonts w:hint="eastAsia" w:ascii="Times New Roman" w:hAnsi="Times New Roman" w:eastAsia="宋体" w:cs="Times New Roman"/>
                <w:color w:val="000000"/>
                <w:sz w:val="21"/>
                <w:szCs w:val="21"/>
                <w:vertAlign w:val="subscript"/>
                <w:lang w:val="en-US" w:eastAsia="zh-CN"/>
              </w:rPr>
              <w:t>3</w:t>
            </w:r>
            <w:r>
              <w:rPr>
                <w:rFonts w:hint="eastAsia" w:ascii="Times New Roman" w:hAnsi="Times New Roman" w:eastAsia="宋体" w:cs="Times New Roman"/>
                <w:color w:val="000000"/>
                <w:sz w:val="21"/>
                <w:szCs w:val="21"/>
                <w:lang w:val="en-US" w:eastAsia="zh-CN"/>
              </w:rPr>
              <w:t>-N）。</w:t>
            </w:r>
          </w:p>
          <w:p w14:paraId="5B8B2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color w:val="000000"/>
              </w:rPr>
            </w:pPr>
            <w:r>
              <w:rPr>
                <w:rFonts w:hint="eastAsia"/>
                <w:color w:val="000000"/>
                <w:lang w:eastAsia="zh-CN"/>
              </w:rPr>
              <w:t>（</w:t>
            </w:r>
            <w:r>
              <w:rPr>
                <w:rFonts w:hint="eastAsia"/>
                <w:color w:val="000000"/>
                <w:lang w:val="en-US" w:eastAsia="zh-CN"/>
              </w:rPr>
              <w:t>1</w:t>
            </w:r>
            <w:r>
              <w:rPr>
                <w:rFonts w:hint="eastAsia"/>
                <w:color w:val="000000"/>
                <w:lang w:eastAsia="zh-CN"/>
              </w:rPr>
              <w:t>）水污染物总量控制指标</w:t>
            </w:r>
            <w:r>
              <w:rPr>
                <w:rFonts w:hint="default"/>
                <w:color w:val="000000"/>
              </w:rPr>
              <w:t>。</w:t>
            </w:r>
          </w:p>
          <w:p w14:paraId="58195A28">
            <w:pPr>
              <w:pStyle w:val="2"/>
              <w:rPr>
                <w:rFonts w:hint="default"/>
              </w:rPr>
            </w:pPr>
          </w:p>
          <w:p w14:paraId="786A4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3-</w:t>
            </w:r>
            <w:r>
              <w:rPr>
                <w:rFonts w:hint="eastAsia" w:cs="Times New Roman"/>
                <w:b/>
                <w:color w:val="000000"/>
                <w:sz w:val="21"/>
                <w:szCs w:val="21"/>
                <w:lang w:val="en-US" w:eastAsia="zh-CN"/>
              </w:rPr>
              <w:t>10</w:t>
            </w:r>
            <w:r>
              <w:rPr>
                <w:rFonts w:hint="default" w:ascii="Times New Roman" w:hAnsi="Times New Roman" w:cs="Times New Roman"/>
                <w:b/>
                <w:color w:val="000000"/>
                <w:sz w:val="21"/>
                <w:szCs w:val="21"/>
              </w:rPr>
              <w:t xml:space="preserve">  项目</w:t>
            </w:r>
            <w:r>
              <w:rPr>
                <w:rFonts w:hint="eastAsia" w:cs="Times New Roman"/>
                <w:b/>
                <w:color w:val="000000"/>
                <w:sz w:val="21"/>
                <w:szCs w:val="21"/>
                <w:lang w:eastAsia="zh-CN"/>
              </w:rPr>
              <w:t>水</w:t>
            </w:r>
            <w:r>
              <w:rPr>
                <w:rFonts w:hint="default" w:ascii="宋体" w:hAnsi="宋体" w:eastAsia="宋体" w:cs="宋体"/>
                <w:b/>
                <w:bCs/>
                <w:color w:val="000000"/>
                <w:highlight w:val="none"/>
                <w:lang w:val="en-US" w:eastAsia="zh-CN"/>
              </w:rPr>
              <w:t>污染物</w:t>
            </w:r>
            <w:r>
              <w:rPr>
                <w:rFonts w:hint="default" w:ascii="Times New Roman" w:hAnsi="Times New Roman" w:cs="Times New Roman"/>
                <w:b/>
                <w:color w:val="000000"/>
                <w:sz w:val="21"/>
                <w:szCs w:val="21"/>
              </w:rPr>
              <w:t>排放</w:t>
            </w:r>
            <w:r>
              <w:rPr>
                <w:rFonts w:hint="default"/>
                <w:b/>
                <w:bCs/>
                <w:color w:val="000000"/>
              </w:rPr>
              <w:t>总量</w:t>
            </w:r>
            <w:r>
              <w:rPr>
                <w:rFonts w:hint="default" w:ascii="Times New Roman" w:hAnsi="Times New Roman" w:cs="Times New Roman"/>
                <w:b/>
                <w:color w:val="000000"/>
                <w:sz w:val="21"/>
                <w:szCs w:val="21"/>
              </w:rPr>
              <w:t>控制表   单位：t/a</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auto" w:sz="4" w:space="0"/>
              </w:tblBorders>
              <w:tblLayout w:type="fixed"/>
              <w:tblCellMar>
                <w:top w:w="0" w:type="dxa"/>
                <w:left w:w="0" w:type="dxa"/>
                <w:bottom w:w="0" w:type="dxa"/>
                <w:right w:w="0" w:type="dxa"/>
              </w:tblCellMar>
            </w:tblPr>
            <w:tblGrid>
              <w:gridCol w:w="2821"/>
              <w:gridCol w:w="2409"/>
              <w:gridCol w:w="2622"/>
            </w:tblGrid>
            <w:tr w14:paraId="0D9B3181">
              <w:tblPrEx>
                <w:tblBorders>
                  <w:top w:val="single" w:color="000000" w:sz="12" w:space="0"/>
                  <w:left w:val="none" w:color="auto" w:sz="0" w:space="0"/>
                  <w:bottom w:val="single" w:color="000000" w:sz="12" w:space="0"/>
                  <w:right w:val="none" w:color="auto" w:sz="0" w:space="0"/>
                  <w:insideH w:val="single" w:color="000000" w:sz="2" w:space="0"/>
                  <w:insideV w:val="single" w:color="auto" w:sz="4" w:space="0"/>
                </w:tblBorders>
                <w:tblCellMar>
                  <w:top w:w="0" w:type="dxa"/>
                  <w:left w:w="0" w:type="dxa"/>
                  <w:bottom w:w="0" w:type="dxa"/>
                  <w:right w:w="0" w:type="dxa"/>
                </w:tblCellMar>
              </w:tblPrEx>
              <w:trPr>
                <w:trHeight w:val="340" w:hRule="atLeast"/>
                <w:jc w:val="center"/>
              </w:trPr>
              <w:tc>
                <w:tcPr>
                  <w:tcW w:w="3921" w:type="dxa"/>
                  <w:gridSpan w:val="2"/>
                  <w:tcBorders>
                    <w:tl2br w:val="nil"/>
                    <w:tr2bl w:val="nil"/>
                  </w:tcBorders>
                  <w:noWrap w:val="0"/>
                  <w:vAlign w:val="center"/>
                </w:tcPr>
                <w:p w14:paraId="28B781FA">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项目</w:t>
                  </w:r>
                </w:p>
              </w:tc>
              <w:tc>
                <w:tcPr>
                  <w:tcW w:w="1966" w:type="dxa"/>
                  <w:tcBorders>
                    <w:tl2br w:val="nil"/>
                    <w:tr2bl w:val="nil"/>
                  </w:tcBorders>
                  <w:noWrap w:val="0"/>
                  <w:vAlign w:val="center"/>
                </w:tcPr>
                <w:p w14:paraId="3F43444D">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排放量</w:t>
                  </w:r>
                </w:p>
              </w:tc>
            </w:tr>
            <w:tr w14:paraId="0DD01F1D">
              <w:tblPrEx>
                <w:tblBorders>
                  <w:top w:val="single" w:color="000000" w:sz="12" w:space="0"/>
                  <w:left w:val="none" w:color="auto" w:sz="0" w:space="0"/>
                  <w:bottom w:val="single" w:color="000000" w:sz="12" w:space="0"/>
                  <w:right w:val="none" w:color="auto" w:sz="0" w:space="0"/>
                  <w:insideH w:val="single" w:color="000000" w:sz="2" w:space="0"/>
                  <w:insideV w:val="single" w:color="auto" w:sz="4" w:space="0"/>
                </w:tblBorders>
                <w:tblCellMar>
                  <w:top w:w="0" w:type="dxa"/>
                  <w:left w:w="0" w:type="dxa"/>
                  <w:bottom w:w="0" w:type="dxa"/>
                  <w:right w:w="0" w:type="dxa"/>
                </w:tblCellMar>
              </w:tblPrEx>
              <w:trPr>
                <w:trHeight w:val="340" w:hRule="atLeast"/>
                <w:jc w:val="center"/>
              </w:trPr>
              <w:tc>
                <w:tcPr>
                  <w:tcW w:w="2115" w:type="dxa"/>
                  <w:vMerge w:val="restart"/>
                  <w:tcBorders>
                    <w:tl2br w:val="nil"/>
                    <w:tr2bl w:val="nil"/>
                  </w:tcBorders>
                  <w:noWrap w:val="0"/>
                  <w:vAlign w:val="center"/>
                </w:tcPr>
                <w:p w14:paraId="0B387CEF">
                  <w:pPr>
                    <w:keepNext w:val="0"/>
                    <w:keepLines w:val="0"/>
                    <w:suppressLineNumbers w:val="0"/>
                    <w:kinsoku/>
                    <w:bidi w:val="0"/>
                    <w:spacing w:before="0" w:beforeAutospacing="0" w:after="0" w:afterAutospacing="0" w:line="240" w:lineRule="auto"/>
                    <w:ind w:left="0" w:leftChars="0" w:right="0" w:rightChars="0"/>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eastAsia="zh-CN"/>
                    </w:rPr>
                    <w:t>生活污水</w:t>
                  </w:r>
                </w:p>
              </w:tc>
              <w:tc>
                <w:tcPr>
                  <w:tcW w:w="1806" w:type="dxa"/>
                  <w:tcBorders>
                    <w:tl2br w:val="nil"/>
                    <w:tr2bl w:val="nil"/>
                  </w:tcBorders>
                  <w:noWrap w:val="0"/>
                  <w:vAlign w:val="center"/>
                </w:tcPr>
                <w:p w14:paraId="122CF3EC">
                  <w:pPr>
                    <w:keepNext w:val="0"/>
                    <w:keepLines w:val="0"/>
                    <w:suppressLineNumbers w:val="0"/>
                    <w:kinsoku/>
                    <w:bidi w:val="0"/>
                    <w:spacing w:before="0" w:beforeAutospacing="0" w:after="0" w:afterAutospacing="0" w:line="240" w:lineRule="auto"/>
                    <w:ind w:left="0" w:leftChars="0" w:right="0" w:rightChars="0"/>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废水量</w:t>
                  </w:r>
                </w:p>
              </w:tc>
              <w:tc>
                <w:tcPr>
                  <w:tcW w:w="1966" w:type="dxa"/>
                  <w:tcBorders>
                    <w:tl2br w:val="nil"/>
                    <w:tr2bl w:val="nil"/>
                  </w:tcBorders>
                  <w:noWrap w:val="0"/>
                  <w:vAlign w:val="center"/>
                </w:tcPr>
                <w:p w14:paraId="76B5F719">
                  <w:pPr>
                    <w:keepNext w:val="0"/>
                    <w:keepLines w:val="0"/>
                    <w:suppressLineNumbers w:val="0"/>
                    <w:kinsoku/>
                    <w:bidi w:val="0"/>
                    <w:spacing w:before="0" w:beforeAutospacing="0" w:after="0" w:afterAutospacing="0" w:line="240" w:lineRule="auto"/>
                    <w:ind w:left="0" w:leftChars="0" w:right="0" w:rightChars="0"/>
                    <w:jc w:val="center"/>
                    <w:rPr>
                      <w:rFonts w:hint="default"/>
                      <w:color w:val="000000"/>
                      <w:highlight w:val="none"/>
                      <w:lang w:val="en-US" w:eastAsia="zh-CN"/>
                    </w:rPr>
                  </w:pPr>
                  <w:r>
                    <w:rPr>
                      <w:rFonts w:hint="eastAsia"/>
                      <w:color w:val="000000"/>
                      <w:highlight w:val="none"/>
                      <w:lang w:val="en-US" w:eastAsia="zh-CN"/>
                    </w:rPr>
                    <w:t>4054.5</w:t>
                  </w:r>
                </w:p>
              </w:tc>
            </w:tr>
            <w:tr w14:paraId="4114C3F5">
              <w:tblPrEx>
                <w:tblBorders>
                  <w:top w:val="single" w:color="000000" w:sz="12" w:space="0"/>
                  <w:left w:val="none" w:color="auto" w:sz="0" w:space="0"/>
                  <w:bottom w:val="single" w:color="000000" w:sz="12" w:space="0"/>
                  <w:right w:val="none" w:color="auto" w:sz="0" w:space="0"/>
                  <w:insideH w:val="single" w:color="000000" w:sz="2" w:space="0"/>
                  <w:insideV w:val="single" w:color="auto" w:sz="4" w:space="0"/>
                </w:tblBorders>
                <w:tblCellMar>
                  <w:top w:w="0" w:type="dxa"/>
                  <w:left w:w="0" w:type="dxa"/>
                  <w:bottom w:w="0" w:type="dxa"/>
                  <w:right w:w="0" w:type="dxa"/>
                </w:tblCellMar>
              </w:tblPrEx>
              <w:trPr>
                <w:trHeight w:val="340" w:hRule="atLeast"/>
                <w:jc w:val="center"/>
              </w:trPr>
              <w:tc>
                <w:tcPr>
                  <w:tcW w:w="2115" w:type="dxa"/>
                  <w:vMerge w:val="continue"/>
                  <w:tcBorders>
                    <w:tl2br w:val="nil"/>
                    <w:tr2bl w:val="nil"/>
                  </w:tcBorders>
                  <w:noWrap w:val="0"/>
                  <w:vAlign w:val="center"/>
                </w:tcPr>
                <w:p w14:paraId="4E4B20F3">
                  <w:pPr>
                    <w:keepNext w:val="0"/>
                    <w:keepLines w:val="0"/>
                    <w:suppressLineNumbers w:val="0"/>
                    <w:kinsoku/>
                    <w:bidi w:val="0"/>
                    <w:spacing w:before="0" w:beforeAutospacing="0" w:after="0" w:afterAutospacing="0" w:line="240" w:lineRule="auto"/>
                    <w:ind w:left="0" w:leftChars="0" w:right="0" w:rightChars="0"/>
                    <w:jc w:val="center"/>
                    <w:rPr>
                      <w:rFonts w:hint="eastAsia" w:ascii="Times New Roman" w:hAnsi="Times New Roman" w:eastAsia="宋体" w:cs="Times New Roman"/>
                      <w:color w:val="000000"/>
                      <w:sz w:val="21"/>
                      <w:szCs w:val="21"/>
                      <w:lang w:eastAsia="zh-CN"/>
                    </w:rPr>
                  </w:pPr>
                </w:p>
              </w:tc>
              <w:tc>
                <w:tcPr>
                  <w:tcW w:w="1806" w:type="dxa"/>
                  <w:tcBorders>
                    <w:tl2br w:val="nil"/>
                    <w:tr2bl w:val="nil"/>
                  </w:tcBorders>
                  <w:noWrap w:val="0"/>
                  <w:vAlign w:val="center"/>
                </w:tcPr>
                <w:p w14:paraId="08F453B1">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966" w:type="dxa"/>
                  <w:tcBorders>
                    <w:tl2br w:val="nil"/>
                    <w:tr2bl w:val="nil"/>
                  </w:tcBorders>
                  <w:noWrap w:val="0"/>
                  <w:vAlign w:val="center"/>
                </w:tcPr>
                <w:p w14:paraId="143027A3">
                  <w:pPr>
                    <w:pStyle w:val="3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bCs/>
                      <w:snapToGrid w:val="0"/>
                      <w:color w:val="000000"/>
                      <w:kern w:val="21"/>
                      <w:sz w:val="21"/>
                      <w:szCs w:val="21"/>
                      <w:lang w:val="en-US" w:eastAsia="zh-CN" w:bidi="ar-SA"/>
                    </w:rPr>
                  </w:pPr>
                  <w:r>
                    <w:rPr>
                      <w:rFonts w:hint="eastAsia" w:cs="Times New Roman"/>
                      <w:bCs/>
                      <w:snapToGrid w:val="0"/>
                      <w:color w:val="000000"/>
                      <w:kern w:val="21"/>
                      <w:sz w:val="21"/>
                      <w:szCs w:val="21"/>
                      <w:lang w:val="en-US" w:eastAsia="zh-CN" w:bidi="ar-SA"/>
                    </w:rPr>
                    <w:t>0.2027</w:t>
                  </w:r>
                </w:p>
              </w:tc>
            </w:tr>
            <w:tr w14:paraId="13D3ECA5">
              <w:tblPrEx>
                <w:tblBorders>
                  <w:top w:val="single" w:color="000000" w:sz="12" w:space="0"/>
                  <w:left w:val="none" w:color="auto" w:sz="0" w:space="0"/>
                  <w:bottom w:val="single" w:color="000000" w:sz="12" w:space="0"/>
                  <w:right w:val="none" w:color="auto" w:sz="0" w:space="0"/>
                  <w:insideH w:val="single" w:color="000000" w:sz="2" w:space="0"/>
                  <w:insideV w:val="single" w:color="auto" w:sz="4" w:space="0"/>
                </w:tblBorders>
                <w:tblCellMar>
                  <w:top w:w="0" w:type="dxa"/>
                  <w:left w:w="0" w:type="dxa"/>
                  <w:bottom w:w="0" w:type="dxa"/>
                  <w:right w:w="0" w:type="dxa"/>
                </w:tblCellMar>
              </w:tblPrEx>
              <w:trPr>
                <w:trHeight w:val="340" w:hRule="atLeast"/>
                <w:jc w:val="center"/>
              </w:trPr>
              <w:tc>
                <w:tcPr>
                  <w:tcW w:w="2115" w:type="dxa"/>
                  <w:vMerge w:val="continue"/>
                  <w:tcBorders>
                    <w:tl2br w:val="nil"/>
                    <w:tr2bl w:val="nil"/>
                  </w:tcBorders>
                  <w:noWrap w:val="0"/>
                  <w:vAlign w:val="center"/>
                </w:tcPr>
                <w:p w14:paraId="68E72647">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rPr>
                  </w:pPr>
                </w:p>
              </w:tc>
              <w:tc>
                <w:tcPr>
                  <w:tcW w:w="1806" w:type="dxa"/>
                  <w:tcBorders>
                    <w:tl2br w:val="nil"/>
                    <w:tr2bl w:val="nil"/>
                  </w:tcBorders>
                  <w:noWrap w:val="0"/>
                  <w:vAlign w:val="center"/>
                </w:tcPr>
                <w:p w14:paraId="50A146AF">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966" w:type="dxa"/>
                  <w:tcBorders>
                    <w:tl2br w:val="nil"/>
                    <w:tr2bl w:val="nil"/>
                  </w:tcBorders>
                  <w:noWrap w:val="0"/>
                  <w:vAlign w:val="center"/>
                </w:tcPr>
                <w:p w14:paraId="06B066D2">
                  <w:pPr>
                    <w:pStyle w:val="3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bCs/>
                      <w:snapToGrid w:val="0"/>
                      <w:color w:val="000000"/>
                      <w:kern w:val="21"/>
                      <w:sz w:val="21"/>
                      <w:szCs w:val="21"/>
                      <w:lang w:val="en-US" w:eastAsia="zh-CN" w:bidi="ar-SA"/>
                    </w:rPr>
                  </w:pPr>
                  <w:r>
                    <w:rPr>
                      <w:rFonts w:hint="eastAsia" w:cs="Times New Roman"/>
                      <w:bCs/>
                      <w:snapToGrid w:val="0"/>
                      <w:color w:val="000000"/>
                      <w:kern w:val="21"/>
                      <w:sz w:val="21"/>
                      <w:szCs w:val="21"/>
                      <w:lang w:val="en-US" w:eastAsia="zh-CN" w:bidi="ar-SA"/>
                    </w:rPr>
                    <w:t>0.0203</w:t>
                  </w:r>
                </w:p>
              </w:tc>
            </w:tr>
          </w:tbl>
          <w:p w14:paraId="3C1B02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cs="Times New Roman"/>
                <w:color w:val="000000"/>
                <w:sz w:val="21"/>
                <w:szCs w:val="21"/>
                <w:lang w:eastAsia="zh-CN"/>
              </w:rPr>
            </w:pPr>
            <w:r>
              <w:rPr>
                <w:rFonts w:hint="default"/>
                <w:color w:val="000000"/>
              </w:rPr>
              <w:t>根据《福建省人民政府关于推进排污权有偿使用和交易工作的意见》（闽政[2016]54号）和《泉州市环保局关于全面实施排污权有偿使用和交易后做好建设项目总量指标管理工作有关意见的通知》（泉环保总量[2017]1号）相关要求，生活污水排放暂不需要购买相应的排污权指标。因此，项目生活污水COD、NH</w:t>
            </w:r>
            <w:r>
              <w:rPr>
                <w:rFonts w:hint="default"/>
                <w:color w:val="000000"/>
                <w:vertAlign w:val="subscript"/>
              </w:rPr>
              <w:t>3</w:t>
            </w:r>
            <w:r>
              <w:rPr>
                <w:rFonts w:hint="default"/>
                <w:color w:val="000000"/>
              </w:rPr>
              <w:t>-N排放</w:t>
            </w:r>
            <w:r>
              <w:rPr>
                <w:rFonts w:hint="default"/>
                <w:color w:val="000000"/>
                <w:lang w:eastAsia="zh-CN"/>
              </w:rPr>
              <w:t>不需纳入总量来源控制</w:t>
            </w:r>
            <w:r>
              <w:rPr>
                <w:rFonts w:hint="default"/>
                <w:color w:val="000000"/>
              </w:rPr>
              <w:t>。</w:t>
            </w:r>
          </w:p>
          <w:p w14:paraId="745A7939">
            <w:pPr>
              <w:keepNext w:val="0"/>
              <w:keepLines w:val="0"/>
              <w:suppressLineNumbers w:val="0"/>
              <w:bidi w:val="0"/>
              <w:spacing w:before="0" w:beforeAutospacing="0" w:after="0" w:afterAutospacing="0"/>
              <w:ind w:left="0" w:right="0" w:firstLine="420" w:firstLineChars="200"/>
              <w:rPr>
                <w:rFonts w:hint="default"/>
                <w:color w:val="000000"/>
              </w:rPr>
            </w:pPr>
            <w:r>
              <w:rPr>
                <w:rFonts w:hint="eastAsia"/>
                <w:color w:val="000000"/>
                <w:lang w:eastAsia="zh-CN"/>
              </w:rPr>
              <w:t>（</w:t>
            </w:r>
            <w:r>
              <w:rPr>
                <w:rFonts w:hint="eastAsia"/>
                <w:color w:val="000000"/>
                <w:lang w:val="en-US" w:eastAsia="zh-CN"/>
              </w:rPr>
              <w:t>2</w:t>
            </w:r>
            <w:r>
              <w:rPr>
                <w:rFonts w:hint="eastAsia"/>
                <w:color w:val="000000"/>
                <w:lang w:eastAsia="zh-CN"/>
              </w:rPr>
              <w:t>）废气污染物总量控制指标</w:t>
            </w:r>
            <w:r>
              <w:rPr>
                <w:rFonts w:hint="default"/>
                <w:color w:val="000000"/>
              </w:rPr>
              <w:t>。</w:t>
            </w:r>
          </w:p>
          <w:p w14:paraId="6EC3B832">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ind w:right="0" w:firstLine="420" w:firstLineChars="200"/>
              <w:jc w:val="left"/>
              <w:textAlignment w:val="auto"/>
              <w:rPr>
                <w:rFonts w:hint="default" w:ascii="宋体" w:hAnsi="宋体" w:eastAsia="宋体" w:cs="宋体"/>
                <w:color w:val="000000"/>
                <w:kern w:val="0"/>
                <w:szCs w:val="21"/>
                <w:lang w:val="en-US" w:eastAsia="zh-CN"/>
              </w:rPr>
            </w:pPr>
            <w:r>
              <w:rPr>
                <w:rFonts w:hint="eastAsia" w:cs="Times New Roman"/>
                <w:color w:val="auto"/>
                <w:sz w:val="21"/>
                <w:szCs w:val="21"/>
                <w:lang w:val="en-US" w:eastAsia="zh-CN"/>
              </w:rPr>
              <w:t>项目无有机废气排放，项目采用的热熔胶为环保型胶粘剂，生产过程中无有机废气产生。故无废气污染物总量控制。</w:t>
            </w:r>
          </w:p>
        </w:tc>
      </w:tr>
    </w:tbl>
    <w:p w14:paraId="6DCF14DA">
      <w:pPr>
        <w:bidi w:val="0"/>
        <w:ind w:firstLine="420" w:firstLineChars="0"/>
        <w:jc w:val="center"/>
        <w:outlineLvl w:val="0"/>
        <w:rPr>
          <w:rFonts w:ascii="黑体" w:hAnsi="黑体" w:eastAsia="黑体"/>
          <w:snapToGrid w:val="0"/>
          <w:color w:val="000000"/>
          <w:sz w:val="30"/>
          <w:szCs w:val="30"/>
        </w:rPr>
      </w:pPr>
      <w:r>
        <w:rPr>
          <w:rFonts w:ascii="黑体" w:hAnsi="黑体" w:eastAsia="黑体"/>
          <w:snapToGrid w:val="0"/>
          <w:color w:val="000000"/>
          <w:sz w:val="36"/>
          <w:szCs w:val="36"/>
        </w:rPr>
        <w:br w:type="page"/>
      </w:r>
      <w:r>
        <w:rPr>
          <w:rFonts w:hint="eastAsia" w:ascii="黑体" w:hAnsi="黑体" w:eastAsia="黑体" w:cs="Times New Roman"/>
          <w:b w:val="0"/>
          <w:snapToGrid w:val="0"/>
          <w:color w:val="000000"/>
          <w:kern w:val="0"/>
          <w:sz w:val="30"/>
          <w:szCs w:val="30"/>
          <w:lang w:val="en-US" w:eastAsia="zh-CN" w:bidi="ar-SA"/>
        </w:rPr>
        <w:t>四、主要环境影响和保护措施</w:t>
      </w:r>
    </w:p>
    <w:tbl>
      <w:tblPr>
        <w:tblStyle w:val="20"/>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492"/>
      </w:tblGrid>
      <w:tr w14:paraId="5040C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579" w:type="dxa"/>
            <w:noWrap w:val="0"/>
            <w:tcMar>
              <w:left w:w="28" w:type="dxa"/>
              <w:right w:w="28" w:type="dxa"/>
            </w:tcMar>
            <w:vAlign w:val="center"/>
          </w:tcPr>
          <w:p w14:paraId="729C6C80">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施工</w:t>
            </w:r>
          </w:p>
          <w:p w14:paraId="6F78D8E9">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期环</w:t>
            </w:r>
          </w:p>
          <w:p w14:paraId="6032E0AD">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境保</w:t>
            </w:r>
          </w:p>
          <w:p w14:paraId="4B0E17D0">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护措</w:t>
            </w:r>
          </w:p>
          <w:p w14:paraId="3FA9E866">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Cs/>
                <w:color w:val="000000"/>
                <w:kern w:val="2"/>
                <w:sz w:val="21"/>
                <w:szCs w:val="21"/>
              </w:rPr>
            </w:pPr>
            <w:r>
              <w:rPr>
                <w:rFonts w:hint="default" w:ascii="Times New Roman" w:hAnsi="Times New Roman" w:cs="Times New Roman"/>
                <w:color w:val="000000"/>
                <w:kern w:val="2"/>
                <w:sz w:val="21"/>
                <w:szCs w:val="21"/>
              </w:rPr>
              <w:t>施</w:t>
            </w:r>
          </w:p>
        </w:tc>
        <w:tc>
          <w:tcPr>
            <w:tcW w:w="8492" w:type="dxa"/>
            <w:noWrap w:val="0"/>
            <w:vAlign w:val="center"/>
          </w:tcPr>
          <w:p w14:paraId="0BA1AB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Cs/>
                <w:color w:val="000000"/>
                <w:spacing w:val="-10"/>
                <w:szCs w:val="21"/>
                <w:lang w:val="en-US" w:eastAsia="zh-CN"/>
              </w:rPr>
            </w:pPr>
            <w:r>
              <w:rPr>
                <w:rFonts w:hint="default" w:ascii="Times New Roman" w:hAnsi="Times New Roman" w:cs="Times New Roman"/>
                <w:color w:val="000000"/>
                <w:sz w:val="21"/>
                <w:szCs w:val="21"/>
                <w:lang w:val="en-US" w:eastAsia="zh-CN"/>
              </w:rPr>
              <w:t>本项目房屋</w:t>
            </w:r>
            <w:r>
              <w:rPr>
                <w:rFonts w:hint="eastAsia" w:cs="Times New Roman"/>
                <w:color w:val="000000"/>
                <w:sz w:val="21"/>
                <w:szCs w:val="21"/>
                <w:lang w:val="en-US" w:eastAsia="zh-CN"/>
              </w:rPr>
              <w:t>均</w:t>
            </w:r>
            <w:r>
              <w:rPr>
                <w:rFonts w:hint="default" w:ascii="Times New Roman" w:hAnsi="Times New Roman" w:cs="Times New Roman"/>
                <w:color w:val="000000"/>
                <w:sz w:val="21"/>
                <w:szCs w:val="21"/>
                <w:lang w:val="en-US" w:eastAsia="zh-CN"/>
              </w:rPr>
              <w:t>已建成。施工期只需进行简单的设备安装，没有土建和其他施工，因此施工期对周边环境的影响主要是设备安装时发出的噪声。在设备安装时加强管理，设备安装过程中应注意轻拿轻放，避免因设备安装不当产生的噪声。经采取措施后，本项目施工期对周围环境基本不会产生影响。</w:t>
            </w:r>
          </w:p>
        </w:tc>
      </w:tr>
      <w:tr w14:paraId="5A852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9" w:type="dxa"/>
            <w:noWrap w:val="0"/>
            <w:tcMar>
              <w:left w:w="28" w:type="dxa"/>
              <w:right w:w="28" w:type="dxa"/>
            </w:tcMar>
            <w:vAlign w:val="center"/>
          </w:tcPr>
          <w:p w14:paraId="0577F2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Cs/>
                <w:color w:val="000000"/>
                <w:szCs w:val="21"/>
              </w:rPr>
            </w:pPr>
            <w:r>
              <w:rPr>
                <w:rFonts w:hint="default" w:ascii="Times New Roman" w:hAnsi="Times New Roman" w:cs="Times New Roman"/>
                <w:bCs/>
                <w:color w:val="000000"/>
                <w:szCs w:val="21"/>
              </w:rPr>
              <w:t>运营期环境影响和保护措施</w:t>
            </w:r>
          </w:p>
        </w:tc>
        <w:tc>
          <w:tcPr>
            <w:tcW w:w="8492" w:type="dxa"/>
            <w:noWrap w:val="0"/>
            <w:vAlign w:val="center"/>
          </w:tcPr>
          <w:p w14:paraId="4C44471F">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b/>
                <w:bCs/>
                <w:color w:val="000000"/>
                <w:sz w:val="24"/>
                <w:szCs w:val="24"/>
                <w:lang w:val="en-US" w:eastAsia="zh-CN"/>
              </w:rPr>
              <w:t>4.1废水</w:t>
            </w:r>
          </w:p>
          <w:p w14:paraId="5A88B4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4.1.1</w:t>
            </w:r>
            <w:r>
              <w:rPr>
                <w:rFonts w:hint="eastAsia" w:ascii="Times New Roman" w:hAnsi="Times New Roman" w:eastAsia="宋体" w:cs="Times New Roman"/>
                <w:b/>
                <w:bCs/>
                <w:color w:val="000000"/>
                <w:sz w:val="21"/>
                <w:szCs w:val="21"/>
                <w:lang w:val="en-US" w:eastAsia="zh-CN"/>
              </w:rPr>
              <w:t>水污染源强核算及排放情况</w:t>
            </w:r>
          </w:p>
          <w:p w14:paraId="3DF1AE94">
            <w:pPr>
              <w:keepNext w:val="0"/>
              <w:keepLines w:val="0"/>
              <w:suppressLineNumbers w:val="0"/>
              <w:spacing w:before="0" w:beforeAutospacing="0" w:after="0" w:afterAutospacing="0" w:line="360" w:lineRule="auto"/>
              <w:ind w:left="0" w:right="0" w:firstLine="422" w:firstLineChars="200"/>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eastAsia="zh-CN"/>
              </w:rPr>
              <w:t>（</w:t>
            </w:r>
            <w:r>
              <w:rPr>
                <w:rFonts w:hint="default"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主要水污染源及源强分析</w:t>
            </w:r>
          </w:p>
          <w:p w14:paraId="37935D27">
            <w:pPr>
              <w:keepNext w:val="0"/>
              <w:keepLines w:val="0"/>
              <w:suppressLineNumbers w:val="0"/>
              <w:bidi w:val="0"/>
              <w:spacing w:before="0" w:beforeAutospacing="0" w:after="0" w:afterAutospacing="0"/>
              <w:ind w:left="0" w:right="0" w:firstLine="420" w:firstLineChars="200"/>
              <w:jc w:val="both"/>
              <w:rPr>
                <w:rFonts w:hint="default"/>
                <w:color w:val="000000"/>
                <w:lang w:val="en-US" w:eastAsia="zh-CN"/>
              </w:rPr>
            </w:pPr>
            <w:r>
              <w:rPr>
                <w:rFonts w:hint="eastAsia"/>
                <w:color w:val="000000"/>
                <w:lang w:val="en-US" w:eastAsia="zh-CN"/>
              </w:rPr>
              <w:t>1）生活用水</w:t>
            </w:r>
          </w:p>
          <w:p w14:paraId="054E5056">
            <w:pPr>
              <w:keepNext w:val="0"/>
              <w:keepLines w:val="0"/>
              <w:suppressLineNumbers w:val="0"/>
              <w:bidi w:val="0"/>
              <w:spacing w:before="0" w:beforeAutospacing="0" w:after="0" w:afterAutospacing="0"/>
              <w:ind w:left="0" w:right="0" w:firstLine="420" w:firstLineChars="200"/>
              <w:jc w:val="both"/>
              <w:rPr>
                <w:rFonts w:hint="eastAsia"/>
                <w:color w:val="000000"/>
                <w:lang w:val="en-US" w:eastAsia="zh-CN"/>
              </w:rPr>
            </w:pPr>
            <w:r>
              <w:rPr>
                <w:rFonts w:hint="default"/>
                <w:color w:val="000000"/>
                <w:lang w:val="en-US" w:eastAsia="zh-CN"/>
              </w:rPr>
              <w:t>本项目职工人数</w:t>
            </w:r>
            <w:r>
              <w:rPr>
                <w:rFonts w:hint="eastAsia"/>
                <w:color w:val="000000"/>
                <w:lang w:val="en-US" w:eastAsia="zh-CN"/>
              </w:rPr>
              <w:t>150</w:t>
            </w:r>
            <w:r>
              <w:rPr>
                <w:rFonts w:hint="default"/>
                <w:color w:val="000000"/>
                <w:lang w:val="en-US" w:eastAsia="zh-CN"/>
              </w:rPr>
              <w:t>人（</w:t>
            </w:r>
            <w:r>
              <w:rPr>
                <w:rFonts w:hint="eastAsia"/>
                <w:color w:val="000000"/>
                <w:lang w:val="en-US" w:eastAsia="zh-CN"/>
              </w:rPr>
              <w:t>其中120人住宿</w:t>
            </w:r>
            <w:r>
              <w:rPr>
                <w:rFonts w:hint="default"/>
                <w:color w:val="000000"/>
                <w:lang w:val="en-US" w:eastAsia="zh-CN"/>
              </w:rPr>
              <w:t>），参照《福建省行业用水定额》</w:t>
            </w:r>
            <w:r>
              <w:rPr>
                <w:rFonts w:hint="eastAsia"/>
                <w:color w:val="000000"/>
                <w:lang w:val="en-US" w:eastAsia="zh-CN"/>
              </w:rPr>
              <w:t>（</w:t>
            </w:r>
            <w:r>
              <w:rPr>
                <w:rFonts w:hint="default"/>
                <w:color w:val="000000"/>
                <w:lang w:val="en-US" w:eastAsia="zh-CN"/>
              </w:rPr>
              <w:t>DB35/T772-20</w:t>
            </w:r>
            <w:r>
              <w:rPr>
                <w:rFonts w:hint="eastAsia"/>
                <w:color w:val="000000"/>
                <w:lang w:val="en-US" w:eastAsia="zh-CN"/>
              </w:rPr>
              <w:t>23）</w:t>
            </w:r>
            <w:r>
              <w:rPr>
                <w:rFonts w:hint="default"/>
                <w:color w:val="000000"/>
                <w:lang w:val="en-US" w:eastAsia="zh-CN"/>
              </w:rPr>
              <w:t>并结合泉州市实际情况</w:t>
            </w:r>
            <w:r>
              <w:rPr>
                <w:rFonts w:hint="eastAsia"/>
                <w:color w:val="000000"/>
                <w:lang w:val="en-US" w:eastAsia="zh-CN"/>
              </w:rPr>
              <w:t>，</w:t>
            </w:r>
            <w:r>
              <w:rPr>
                <w:rFonts w:hint="default"/>
                <w:color w:val="000000"/>
                <w:lang w:val="en-US" w:eastAsia="zh-CN"/>
              </w:rPr>
              <w:t>住厂职工用水额按</w:t>
            </w:r>
            <w:r>
              <w:rPr>
                <w:rFonts w:hint="eastAsia"/>
                <w:color w:val="000000"/>
                <w:lang w:val="en-US" w:eastAsia="zh-CN"/>
              </w:rPr>
              <w:t>12</w:t>
            </w:r>
            <w:r>
              <w:rPr>
                <w:rFonts w:hint="default"/>
                <w:color w:val="000000"/>
                <w:lang w:val="en-US" w:eastAsia="zh-CN"/>
              </w:rPr>
              <w:t>0L/（人·天）计</w:t>
            </w:r>
            <w:r>
              <w:rPr>
                <w:rFonts w:hint="eastAsia"/>
                <w:color w:val="000000"/>
                <w:lang w:val="en-US" w:eastAsia="zh-CN"/>
              </w:rPr>
              <w:t>；参照《建筑给水排水设计标准》（GB50015-2019），车间工人的生活用水定额宜采用30~50L/（人·天），本项目生活用水量按50L/(人·天）计，</w:t>
            </w:r>
            <w:r>
              <w:rPr>
                <w:rFonts w:hint="default"/>
                <w:color w:val="000000"/>
                <w:lang w:val="en-US" w:eastAsia="zh-CN"/>
              </w:rPr>
              <w:t>均按</w:t>
            </w:r>
            <w:r>
              <w:rPr>
                <w:rFonts w:hint="eastAsia"/>
                <w:color w:val="000000"/>
                <w:lang w:val="en-US" w:eastAsia="zh-CN"/>
              </w:rPr>
              <w:t>300</w:t>
            </w:r>
            <w:r>
              <w:rPr>
                <w:rFonts w:hint="default"/>
                <w:color w:val="000000"/>
                <w:lang w:val="en-US" w:eastAsia="zh-CN"/>
              </w:rPr>
              <w:t>天计，则职工生活用水量为</w:t>
            </w:r>
            <w:r>
              <w:rPr>
                <w:rFonts w:hint="eastAsia"/>
                <w:color w:val="000000"/>
                <w:lang w:val="en-US" w:eastAsia="zh-CN"/>
              </w:rPr>
              <w:t>4770</w:t>
            </w:r>
            <w:r>
              <w:rPr>
                <w:rFonts w:hint="default"/>
                <w:color w:val="000000"/>
                <w:lang w:val="en-US" w:eastAsia="zh-CN"/>
              </w:rPr>
              <w:t>t/a</w:t>
            </w:r>
            <w:r>
              <w:rPr>
                <w:rFonts w:hint="eastAsia"/>
                <w:color w:val="000000"/>
                <w:lang w:val="en-US" w:eastAsia="zh-CN"/>
              </w:rPr>
              <w:t>。</w:t>
            </w:r>
          </w:p>
          <w:p w14:paraId="1992AC94">
            <w:pPr>
              <w:keepNext w:val="0"/>
              <w:keepLines w:val="0"/>
              <w:suppressLineNumbers w:val="0"/>
              <w:bidi w:val="0"/>
              <w:spacing w:before="0" w:beforeAutospacing="0" w:after="0" w:afterAutospacing="0"/>
              <w:ind w:left="0" w:right="0" w:firstLine="420" w:firstLineChars="200"/>
              <w:jc w:val="both"/>
              <w:rPr>
                <w:rFonts w:hint="default" w:ascii="Times New Roman" w:hAnsi="Times New Roman" w:eastAsia="宋体" w:cs="Times New Roman"/>
                <w:color w:val="000000"/>
                <w:sz w:val="21"/>
                <w:szCs w:val="21"/>
                <w:highlight w:val="none"/>
                <w:lang w:val="en-US" w:eastAsia="zh-CN"/>
              </w:rPr>
            </w:pPr>
            <w:r>
              <w:rPr>
                <w:rFonts w:hint="default"/>
                <w:color w:val="000000"/>
                <w:highlight w:val="none"/>
                <w:lang w:val="en-US" w:eastAsia="zh-CN"/>
              </w:rPr>
              <w:t>职工生活污水水质简单，污染物负荷量小，主要污染物为COD、BOD</w:t>
            </w:r>
            <w:r>
              <w:rPr>
                <w:rFonts w:hint="default"/>
                <w:color w:val="000000"/>
                <w:highlight w:val="none"/>
                <w:vertAlign w:val="subscript"/>
                <w:lang w:val="en-US" w:eastAsia="zh-CN"/>
              </w:rPr>
              <w:t>5</w:t>
            </w:r>
            <w:r>
              <w:rPr>
                <w:rFonts w:hint="default"/>
                <w:color w:val="000000"/>
                <w:highlight w:val="none"/>
                <w:lang w:val="en-US" w:eastAsia="zh-CN"/>
              </w:rPr>
              <w:t>、NH</w:t>
            </w:r>
            <w:r>
              <w:rPr>
                <w:rFonts w:hint="default"/>
                <w:color w:val="000000"/>
                <w:highlight w:val="none"/>
                <w:vertAlign w:val="subscript"/>
                <w:lang w:val="en-US" w:eastAsia="zh-CN"/>
              </w:rPr>
              <w:t>3</w:t>
            </w:r>
            <w:r>
              <w:rPr>
                <w:rFonts w:hint="default"/>
                <w:color w:val="000000"/>
                <w:highlight w:val="none"/>
                <w:lang w:val="en-US" w:eastAsia="zh-CN"/>
              </w:rPr>
              <w:t>-N、SS</w:t>
            </w:r>
            <w:r>
              <w:rPr>
                <w:rFonts w:hint="eastAsia"/>
                <w:color w:val="000000"/>
                <w:highlight w:val="none"/>
                <w:lang w:val="en-US" w:eastAsia="zh-CN"/>
              </w:rPr>
              <w:t>、TN</w:t>
            </w:r>
            <w:r>
              <w:rPr>
                <w:rFonts w:hint="default"/>
                <w:color w:val="000000"/>
                <w:highlight w:val="none"/>
                <w:lang w:val="en-US" w:eastAsia="zh-CN"/>
              </w:rPr>
              <w:t>等。</w:t>
            </w:r>
            <w:r>
              <w:rPr>
                <w:rFonts w:hint="eastAsia"/>
                <w:color w:val="000000"/>
                <w:sz w:val="21"/>
                <w:szCs w:val="21"/>
                <w:highlight w:val="none"/>
                <w:lang w:val="en-US" w:eastAsia="zh-CN"/>
              </w:rPr>
              <w:t>根据《排放源统计调查产排污核算方法和系数手册》</w:t>
            </w:r>
            <w:r>
              <w:rPr>
                <w:rFonts w:hint="eastAsia" w:ascii="宋体" w:hAnsi="宋体" w:eastAsia="宋体" w:cs="宋体"/>
                <w:color w:val="000000"/>
                <w:sz w:val="21"/>
                <w:szCs w:val="21"/>
                <w:highlight w:val="none"/>
                <w:lang w:val="en-US" w:eastAsia="zh-CN"/>
              </w:rPr>
              <w:t>(</w:t>
            </w:r>
            <w:r>
              <w:rPr>
                <w:rFonts w:hint="eastAsia"/>
                <w:color w:val="000000"/>
                <w:sz w:val="21"/>
                <w:szCs w:val="21"/>
                <w:highlight w:val="none"/>
                <w:lang w:val="en-US" w:eastAsia="zh-CN"/>
              </w:rPr>
              <w:t>生态环境部公告2021年第24号</w:t>
            </w:r>
            <w:r>
              <w:rPr>
                <w:rFonts w:hint="eastAsia" w:ascii="宋体" w:hAnsi="宋体" w:eastAsia="宋体" w:cs="宋体"/>
                <w:color w:val="000000"/>
                <w:sz w:val="21"/>
                <w:szCs w:val="21"/>
                <w:highlight w:val="none"/>
                <w:lang w:val="en-US" w:eastAsia="zh-CN"/>
              </w:rPr>
              <w:t>)</w:t>
            </w:r>
            <w:r>
              <w:rPr>
                <w:rFonts w:hint="eastAsia"/>
                <w:color w:val="000000"/>
                <w:sz w:val="21"/>
                <w:szCs w:val="21"/>
                <w:highlight w:val="none"/>
                <w:lang w:val="en-US" w:eastAsia="zh-CN"/>
              </w:rPr>
              <w:t>的生活源产排污核算系数手册中四区产污系数：折污系数为0.85，COD：340mg/L、NH</w:t>
            </w:r>
            <w:r>
              <w:rPr>
                <w:rFonts w:hint="eastAsia"/>
                <w:color w:val="000000"/>
                <w:sz w:val="21"/>
                <w:szCs w:val="21"/>
                <w:highlight w:val="none"/>
                <w:vertAlign w:val="subscript"/>
                <w:lang w:val="en-US" w:eastAsia="zh-CN"/>
              </w:rPr>
              <w:t>3</w:t>
            </w:r>
            <w:r>
              <w:rPr>
                <w:rFonts w:hint="eastAsia"/>
                <w:color w:val="000000"/>
                <w:sz w:val="21"/>
                <w:szCs w:val="21"/>
                <w:highlight w:val="none"/>
                <w:lang w:val="en-US" w:eastAsia="zh-CN"/>
              </w:rPr>
              <w:t>-N：32.6mg/L、总氮：44.8mg/L。因二污普无BOD</w:t>
            </w:r>
            <w:r>
              <w:rPr>
                <w:rFonts w:hint="eastAsia"/>
                <w:color w:val="000000"/>
                <w:sz w:val="21"/>
                <w:szCs w:val="21"/>
                <w:highlight w:val="none"/>
                <w:vertAlign w:val="subscript"/>
                <w:lang w:val="en-US" w:eastAsia="zh-CN"/>
              </w:rPr>
              <w:t>5</w:t>
            </w:r>
            <w:r>
              <w:rPr>
                <w:rFonts w:hint="eastAsia"/>
                <w:color w:val="000000"/>
                <w:sz w:val="21"/>
                <w:szCs w:val="21"/>
                <w:highlight w:val="none"/>
                <w:lang w:val="en-US" w:eastAsia="zh-CN"/>
              </w:rPr>
              <w:t>和SS的产污系数，因此</w:t>
            </w:r>
            <w:r>
              <w:rPr>
                <w:rFonts w:hint="eastAsia"/>
                <w:color w:val="000000"/>
                <w:sz w:val="21"/>
                <w:szCs w:val="21"/>
                <w:lang w:val="en-US" w:eastAsia="zh-CN"/>
              </w:rPr>
              <w:t>，BOD</w:t>
            </w:r>
            <w:r>
              <w:rPr>
                <w:rFonts w:hint="eastAsia"/>
                <w:color w:val="000000"/>
                <w:sz w:val="21"/>
                <w:szCs w:val="21"/>
                <w:vertAlign w:val="subscript"/>
                <w:lang w:val="en-US" w:eastAsia="zh-CN"/>
              </w:rPr>
              <w:t>5</w:t>
            </w:r>
            <w:r>
              <w:rPr>
                <w:rFonts w:hint="eastAsia"/>
                <w:color w:val="000000"/>
                <w:sz w:val="21"/>
                <w:szCs w:val="21"/>
                <w:lang w:val="en-US" w:eastAsia="zh-CN"/>
              </w:rPr>
              <w:t>产污系数参照《第一次全国污染源普查城镇生活源产排污系数手册》中泉州</w:t>
            </w:r>
            <w:r>
              <w:rPr>
                <w:rFonts w:hint="eastAsia" w:ascii="宋体" w:hAnsi="宋体" w:eastAsia="宋体" w:cs="宋体"/>
                <w:color w:val="000000"/>
                <w:sz w:val="21"/>
                <w:szCs w:val="21"/>
                <w:lang w:val="en-US" w:eastAsia="zh-CN"/>
              </w:rPr>
              <w:t>(</w:t>
            </w:r>
            <w:r>
              <w:rPr>
                <w:rFonts w:hint="eastAsia"/>
                <w:color w:val="000000"/>
                <w:sz w:val="21"/>
                <w:szCs w:val="21"/>
                <w:lang w:val="en-US" w:eastAsia="zh-CN"/>
              </w:rPr>
              <w:t>二区2类城市</w:t>
            </w:r>
            <w:r>
              <w:rPr>
                <w:rFonts w:hint="eastAsia" w:ascii="宋体" w:hAnsi="宋体" w:eastAsia="宋体" w:cs="宋体"/>
                <w:color w:val="000000"/>
                <w:sz w:val="21"/>
                <w:szCs w:val="21"/>
                <w:lang w:val="en-US" w:eastAsia="zh-CN"/>
              </w:rPr>
              <w:t>)</w:t>
            </w:r>
            <w:r>
              <w:rPr>
                <w:rFonts w:hint="eastAsia"/>
                <w:color w:val="000000"/>
                <w:sz w:val="21"/>
                <w:szCs w:val="21"/>
                <w:lang w:val="en-US" w:eastAsia="zh-CN"/>
              </w:rPr>
              <w:t>的产污系数，BOD</w:t>
            </w:r>
            <w:r>
              <w:rPr>
                <w:rFonts w:hint="eastAsia"/>
                <w:color w:val="000000"/>
                <w:sz w:val="21"/>
                <w:szCs w:val="21"/>
                <w:vertAlign w:val="subscript"/>
                <w:lang w:val="en-US" w:eastAsia="zh-CN"/>
              </w:rPr>
              <w:t>5</w:t>
            </w:r>
            <w:r>
              <w:rPr>
                <w:rFonts w:hint="eastAsia"/>
                <w:color w:val="000000"/>
                <w:sz w:val="21"/>
                <w:szCs w:val="21"/>
                <w:lang w:val="en-US" w:eastAsia="zh-CN"/>
              </w:rPr>
              <w:t>：177mg/L；SS产污系数参照《建筑中水设计</w:t>
            </w:r>
            <w:r>
              <w:rPr>
                <w:rFonts w:hint="eastAsia" w:ascii="Times New Roman" w:hAnsi="Times New Roman" w:eastAsia="宋体" w:cs="Times New Roman"/>
                <w:color w:val="000000"/>
                <w:sz w:val="21"/>
                <w:szCs w:val="21"/>
                <w:highlight w:val="none"/>
                <w:lang w:val="en-US" w:eastAsia="zh-CN"/>
              </w:rPr>
              <w:t>规范》中规定的数据，SS：260mg/L。</w:t>
            </w:r>
            <w:r>
              <w:rPr>
                <w:rFonts w:hint="default" w:ascii="Times New Roman" w:hAnsi="Times New Roman" w:eastAsia="宋体" w:cs="Times New Roman"/>
                <w:color w:val="000000"/>
                <w:sz w:val="21"/>
                <w:szCs w:val="21"/>
                <w:highlight w:val="none"/>
                <w:lang w:val="en-US" w:eastAsia="zh-CN"/>
              </w:rPr>
              <w:t>职工生活污水产生量为</w:t>
            </w:r>
            <w:r>
              <w:rPr>
                <w:rFonts w:hint="eastAsia" w:cs="Times New Roman"/>
                <w:color w:val="000000"/>
                <w:sz w:val="21"/>
                <w:szCs w:val="21"/>
                <w:highlight w:val="none"/>
                <w:lang w:val="en-US" w:eastAsia="zh-CN"/>
              </w:rPr>
              <w:t>4054.5</w:t>
            </w:r>
            <w:r>
              <w:rPr>
                <w:rFonts w:hint="default" w:ascii="Times New Roman" w:hAnsi="Times New Roman" w:eastAsia="宋体" w:cs="Times New Roman"/>
                <w:color w:val="000000"/>
                <w:sz w:val="21"/>
                <w:szCs w:val="21"/>
                <w:highlight w:val="none"/>
                <w:lang w:val="en-US" w:eastAsia="zh-CN"/>
              </w:rPr>
              <w:t>t/a（</w:t>
            </w:r>
            <w:r>
              <w:rPr>
                <w:rFonts w:hint="eastAsia" w:cs="Times New Roman"/>
                <w:color w:val="000000"/>
                <w:sz w:val="21"/>
                <w:szCs w:val="21"/>
                <w:highlight w:val="none"/>
                <w:lang w:val="en-US" w:eastAsia="zh-CN"/>
              </w:rPr>
              <w:t>13.515</w:t>
            </w:r>
            <w:r>
              <w:rPr>
                <w:rFonts w:hint="default" w:ascii="Times New Roman" w:hAnsi="Times New Roman" w:eastAsia="宋体" w:cs="Times New Roman"/>
                <w:color w:val="000000"/>
                <w:sz w:val="21"/>
                <w:szCs w:val="21"/>
                <w:highlight w:val="none"/>
                <w:lang w:val="en-US" w:eastAsia="zh-CN"/>
              </w:rPr>
              <w:t>t/d）。</w:t>
            </w:r>
          </w:p>
          <w:p w14:paraId="093F83D5">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360" w:lineRule="auto"/>
              <w:ind w:right="0" w:firstLine="420" w:firstLineChars="200"/>
              <w:jc w:val="left"/>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项目化粪池的去除率参照《排放源统计调查产排污核算方法和系数手册》</w:t>
            </w:r>
            <w:r>
              <w:rPr>
                <w:rFonts w:hint="eastAsia" w:ascii="宋体" w:hAnsi="宋体" w:eastAsia="宋体" w:cs="宋体"/>
                <w:color w:val="000000"/>
                <w:sz w:val="21"/>
                <w:szCs w:val="21"/>
                <w:lang w:val="en-US" w:eastAsia="zh-CN"/>
              </w:rPr>
              <w:t>(</w:t>
            </w:r>
            <w:r>
              <w:rPr>
                <w:rFonts w:hint="eastAsia" w:ascii="Times New Roman" w:hAnsi="Times New Roman" w:eastAsia="宋体" w:cs="Times New Roman"/>
                <w:color w:val="000000"/>
                <w:sz w:val="21"/>
                <w:szCs w:val="21"/>
                <w:lang w:val="en-US" w:eastAsia="zh-CN"/>
              </w:rPr>
              <w:t>生态环境部公告2021年第24号</w:t>
            </w:r>
            <w:r>
              <w:rPr>
                <w:rFonts w:hint="eastAsia" w:ascii="宋体" w:hAnsi="宋体" w:eastAsia="宋体" w:cs="宋体"/>
                <w:color w:val="000000"/>
                <w:sz w:val="21"/>
                <w:szCs w:val="21"/>
                <w:lang w:val="en-US" w:eastAsia="zh-CN"/>
              </w:rPr>
              <w:t>)</w:t>
            </w:r>
            <w:r>
              <w:rPr>
                <w:rFonts w:hint="eastAsia" w:ascii="Times New Roman" w:hAnsi="Times New Roman" w:eastAsia="宋体" w:cs="Times New Roman"/>
                <w:color w:val="000000"/>
                <w:sz w:val="21"/>
                <w:szCs w:val="21"/>
                <w:lang w:val="en-US" w:eastAsia="zh-CN"/>
              </w:rPr>
              <w:t>“表2-2 农村生活污水污染物综合去除率”，COD、</w:t>
            </w:r>
            <w:r>
              <w:rPr>
                <w:rFonts w:hint="eastAsia"/>
                <w:color w:val="000000"/>
                <w:sz w:val="21"/>
                <w:szCs w:val="21"/>
                <w:lang w:val="en-US" w:eastAsia="zh-CN"/>
              </w:rPr>
              <w:t>NH</w:t>
            </w:r>
            <w:r>
              <w:rPr>
                <w:rFonts w:hint="eastAsia"/>
                <w:color w:val="000000"/>
                <w:sz w:val="21"/>
                <w:szCs w:val="21"/>
                <w:vertAlign w:val="subscript"/>
                <w:lang w:val="en-US" w:eastAsia="zh-CN"/>
              </w:rPr>
              <w:t>3</w:t>
            </w:r>
            <w:r>
              <w:rPr>
                <w:rFonts w:hint="eastAsia"/>
                <w:color w:val="000000"/>
                <w:sz w:val="21"/>
                <w:szCs w:val="21"/>
                <w:lang w:val="en-US" w:eastAsia="zh-CN"/>
              </w:rPr>
              <w:t>-N</w:t>
            </w:r>
            <w:r>
              <w:rPr>
                <w:rFonts w:hint="eastAsia" w:ascii="Times New Roman" w:hAnsi="Times New Roman" w:eastAsia="宋体" w:cs="Times New Roman"/>
                <w:color w:val="000000"/>
                <w:sz w:val="21"/>
                <w:szCs w:val="21"/>
                <w:lang w:val="en-US" w:eastAsia="zh-CN"/>
              </w:rPr>
              <w:t>、TN的去除率分别为64%、53%、46%；参照《第一次全国污染源普查城镇生活污染源产排系数手册》“表2二区居民生活水、生活垃圾产生和排放系数中的二类”，BOD</w:t>
            </w:r>
            <w:r>
              <w:rPr>
                <w:rFonts w:hint="eastAsia" w:ascii="Times New Roman" w:hAnsi="Times New Roman" w:eastAsia="宋体" w:cs="Times New Roman"/>
                <w:color w:val="000000"/>
                <w:sz w:val="21"/>
                <w:szCs w:val="21"/>
                <w:vertAlign w:val="subscript"/>
                <w:lang w:val="en-US" w:eastAsia="zh-CN"/>
              </w:rPr>
              <w:t>5</w:t>
            </w:r>
            <w:r>
              <w:rPr>
                <w:rFonts w:hint="eastAsia" w:ascii="Times New Roman" w:hAnsi="Times New Roman" w:eastAsia="宋体" w:cs="Times New Roman"/>
                <w:color w:val="000000"/>
                <w:sz w:val="21"/>
                <w:szCs w:val="21"/>
                <w:lang w:val="en-US" w:eastAsia="zh-CN"/>
              </w:rPr>
              <w:t>去除率22.6%；参照《村镇生活污染防治最佳可行技术指南</w:t>
            </w:r>
            <w:r>
              <w:rPr>
                <w:rFonts w:hint="eastAsia" w:ascii="宋体" w:hAnsi="宋体" w:eastAsia="宋体" w:cs="宋体"/>
                <w:color w:val="000000"/>
                <w:sz w:val="21"/>
                <w:szCs w:val="21"/>
                <w:lang w:val="en-US" w:eastAsia="zh-CN"/>
              </w:rPr>
              <w:t>(试行)</w:t>
            </w:r>
            <w:r>
              <w:rPr>
                <w:rFonts w:hint="eastAsia" w:ascii="Times New Roman" w:hAnsi="Times New Roman" w:eastAsia="宋体" w:cs="Times New Roman"/>
                <w:color w:val="000000"/>
                <w:sz w:val="21"/>
                <w:szCs w:val="21"/>
                <w:lang w:val="en-US" w:eastAsia="zh-CN"/>
              </w:rPr>
              <w:t>》</w:t>
            </w:r>
            <w:r>
              <w:rPr>
                <w:rFonts w:hint="eastAsia" w:ascii="宋体" w:hAnsi="宋体" w:eastAsia="宋体" w:cs="宋体"/>
                <w:color w:val="000000"/>
                <w:sz w:val="21"/>
                <w:szCs w:val="21"/>
                <w:lang w:val="en-US" w:eastAsia="zh-CN"/>
              </w:rPr>
              <w:t>(</w:t>
            </w:r>
            <w:r>
              <w:rPr>
                <w:rFonts w:hint="eastAsia" w:ascii="Times New Roman" w:hAnsi="Times New Roman" w:eastAsia="宋体" w:cs="Times New Roman"/>
                <w:color w:val="000000"/>
                <w:sz w:val="21"/>
                <w:szCs w:val="21"/>
                <w:lang w:val="en-US" w:eastAsia="zh-CN"/>
              </w:rPr>
              <w:t>HJ-BAT-9</w:t>
            </w:r>
            <w:r>
              <w:rPr>
                <w:rFonts w:hint="eastAsia" w:ascii="宋体" w:hAnsi="宋体" w:eastAsia="宋体" w:cs="宋体"/>
                <w:color w:val="000000"/>
                <w:sz w:val="21"/>
                <w:szCs w:val="21"/>
                <w:lang w:val="en-US" w:eastAsia="zh-CN"/>
              </w:rPr>
              <w:t>)</w:t>
            </w:r>
            <w:r>
              <w:rPr>
                <w:rFonts w:hint="eastAsia" w:ascii="Times New Roman" w:hAnsi="Times New Roman" w:eastAsia="宋体" w:cs="Times New Roman"/>
                <w:color w:val="000000"/>
                <w:sz w:val="21"/>
                <w:szCs w:val="21"/>
                <w:lang w:val="en-US" w:eastAsia="zh-CN"/>
              </w:rPr>
              <w:t>，SS去除率60%~70%。</w:t>
            </w:r>
          </w:p>
          <w:p w14:paraId="3A947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2</w:t>
            </w:r>
            <w:r>
              <w:rPr>
                <w:rFonts w:hint="eastAsia" w:cs="Times New Roman"/>
                <w:color w:val="000000"/>
                <w:sz w:val="21"/>
                <w:szCs w:val="21"/>
                <w:lang w:eastAsia="zh-CN"/>
              </w:rPr>
              <w:t>）</w:t>
            </w:r>
            <w:r>
              <w:rPr>
                <w:rFonts w:hint="eastAsia" w:cs="Times New Roman"/>
                <w:color w:val="000000"/>
                <w:sz w:val="21"/>
                <w:szCs w:val="21"/>
                <w:lang w:val="en-US" w:eastAsia="zh-CN"/>
              </w:rPr>
              <w:t>废水排放</w:t>
            </w:r>
          </w:p>
          <w:p w14:paraId="08AFC89D">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360" w:lineRule="auto"/>
              <w:ind w:right="0" w:firstLine="420" w:firstLineChars="200"/>
              <w:jc w:val="left"/>
              <w:textAlignment w:val="auto"/>
              <w:rPr>
                <w:rFonts w:hint="default"/>
                <w:color w:val="000000"/>
                <w:sz w:val="21"/>
                <w:szCs w:val="21"/>
                <w:lang w:val="en-US" w:eastAsia="zh-CN"/>
              </w:rPr>
            </w:pPr>
            <w:r>
              <w:rPr>
                <w:rFonts w:hint="default"/>
                <w:color w:val="000000"/>
                <w:sz w:val="21"/>
                <w:szCs w:val="21"/>
                <w:lang w:val="en-US" w:eastAsia="zh-CN"/>
              </w:rPr>
              <w:t>本项目位于泉州市惠安县城西台商创业基地（黄塘镇前郭村），在</w:t>
            </w:r>
            <w:r>
              <w:rPr>
                <w:rFonts w:hint="eastAsia"/>
                <w:color w:val="000000"/>
                <w:sz w:val="21"/>
                <w:szCs w:val="21"/>
                <w:lang w:val="en-US" w:eastAsia="zh-CN"/>
              </w:rPr>
              <w:t>惠西</w:t>
            </w:r>
            <w:r>
              <w:rPr>
                <w:rFonts w:hint="default"/>
                <w:color w:val="000000"/>
                <w:sz w:val="21"/>
                <w:szCs w:val="21"/>
                <w:lang w:val="en-US" w:eastAsia="zh-CN"/>
              </w:rPr>
              <w:t>污水处理厂服务范围内。项目</w:t>
            </w:r>
            <w:r>
              <w:rPr>
                <w:rFonts w:hint="eastAsia"/>
                <w:color w:val="000000"/>
                <w:sz w:val="21"/>
                <w:szCs w:val="21"/>
                <w:lang w:val="en-US" w:eastAsia="zh-CN"/>
              </w:rPr>
              <w:t>生活污水经</w:t>
            </w:r>
            <w:r>
              <w:rPr>
                <w:rFonts w:hint="default"/>
                <w:color w:val="000000"/>
                <w:sz w:val="21"/>
                <w:szCs w:val="21"/>
                <w:lang w:val="en-US" w:eastAsia="zh-CN"/>
              </w:rPr>
              <w:t>化粪池处理后</w:t>
            </w:r>
            <w:r>
              <w:rPr>
                <w:rFonts w:hint="eastAsia"/>
                <w:color w:val="000000"/>
                <w:sz w:val="21"/>
                <w:szCs w:val="21"/>
                <w:lang w:val="en-US" w:eastAsia="zh-CN"/>
              </w:rPr>
              <w:t>通过市政污水管网</w:t>
            </w:r>
            <w:r>
              <w:rPr>
                <w:rFonts w:hint="default"/>
                <w:color w:val="000000"/>
                <w:sz w:val="21"/>
                <w:szCs w:val="21"/>
                <w:lang w:val="en-US" w:eastAsia="zh-CN"/>
              </w:rPr>
              <w:t>排入</w:t>
            </w:r>
            <w:r>
              <w:rPr>
                <w:rFonts w:hint="eastAsia"/>
                <w:color w:val="000000"/>
                <w:sz w:val="21"/>
                <w:szCs w:val="21"/>
                <w:lang w:val="en-US" w:eastAsia="zh-CN"/>
              </w:rPr>
              <w:t>惠西</w:t>
            </w:r>
            <w:r>
              <w:rPr>
                <w:rFonts w:hint="default"/>
                <w:color w:val="000000"/>
                <w:sz w:val="21"/>
                <w:szCs w:val="21"/>
                <w:lang w:val="en-US" w:eastAsia="zh-CN"/>
              </w:rPr>
              <w:t>污水处理厂进一步处理。</w:t>
            </w:r>
          </w:p>
          <w:p w14:paraId="5F23D451">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360" w:lineRule="auto"/>
              <w:ind w:right="0" w:firstLine="420" w:firstLineChars="200"/>
              <w:jc w:val="left"/>
              <w:textAlignment w:val="auto"/>
              <w:rPr>
                <w:rFonts w:hint="default" w:ascii="Times New Roman" w:hAnsi="Times New Roman" w:cs="Times New Roman"/>
                <w:color w:val="000000"/>
                <w:sz w:val="21"/>
                <w:szCs w:val="21"/>
              </w:rPr>
            </w:pPr>
            <w:r>
              <w:rPr>
                <w:rFonts w:hint="eastAsia"/>
                <w:color w:val="000000"/>
                <w:sz w:val="21"/>
                <w:szCs w:val="21"/>
                <w:lang w:val="en-US" w:eastAsia="zh-CN"/>
              </w:rPr>
              <w:t>惠西</w:t>
            </w:r>
            <w:r>
              <w:rPr>
                <w:rFonts w:hint="default"/>
                <w:color w:val="000000"/>
                <w:sz w:val="21"/>
                <w:szCs w:val="21"/>
                <w:lang w:val="en-US" w:eastAsia="zh-CN"/>
              </w:rPr>
              <w:t>污水处理厂出水执行城东污水厂设计出水要求，即COD：</w:t>
            </w:r>
            <w:r>
              <w:rPr>
                <w:rFonts w:hint="eastAsia"/>
                <w:color w:val="000000"/>
                <w:sz w:val="21"/>
                <w:szCs w:val="21"/>
                <w:lang w:val="en-US" w:eastAsia="zh-CN"/>
              </w:rPr>
              <w:t>5</w:t>
            </w:r>
            <w:r>
              <w:rPr>
                <w:rFonts w:hint="default"/>
                <w:color w:val="000000"/>
                <w:sz w:val="21"/>
                <w:szCs w:val="21"/>
                <w:lang w:val="en-US" w:eastAsia="zh-CN"/>
              </w:rPr>
              <w:t>0mg/L、BOD</w:t>
            </w:r>
            <w:r>
              <w:rPr>
                <w:rFonts w:hint="default"/>
                <w:color w:val="000000"/>
                <w:sz w:val="21"/>
                <w:szCs w:val="21"/>
                <w:vertAlign w:val="subscript"/>
                <w:lang w:val="en-US" w:eastAsia="zh-CN"/>
              </w:rPr>
              <w:t>5</w:t>
            </w:r>
            <w:r>
              <w:rPr>
                <w:rFonts w:hint="default"/>
                <w:color w:val="000000"/>
                <w:sz w:val="21"/>
                <w:szCs w:val="21"/>
                <w:lang w:val="en-US" w:eastAsia="zh-CN"/>
              </w:rPr>
              <w:t>：</w:t>
            </w:r>
            <w:r>
              <w:rPr>
                <w:rFonts w:hint="eastAsia"/>
                <w:color w:val="000000"/>
                <w:sz w:val="21"/>
                <w:szCs w:val="21"/>
                <w:lang w:val="en-US" w:eastAsia="zh-CN"/>
              </w:rPr>
              <w:t>10</w:t>
            </w:r>
            <w:r>
              <w:rPr>
                <w:rFonts w:hint="default"/>
                <w:color w:val="000000"/>
                <w:sz w:val="21"/>
                <w:szCs w:val="21"/>
                <w:lang w:val="en-US" w:eastAsia="zh-CN"/>
              </w:rPr>
              <w:t>mg/L、SS：10mg/L、NH</w:t>
            </w:r>
            <w:r>
              <w:rPr>
                <w:rFonts w:hint="default"/>
                <w:color w:val="000000"/>
                <w:sz w:val="21"/>
                <w:szCs w:val="21"/>
                <w:vertAlign w:val="subscript"/>
                <w:lang w:val="en-US" w:eastAsia="zh-CN"/>
              </w:rPr>
              <w:t>3</w:t>
            </w:r>
            <w:r>
              <w:rPr>
                <w:rFonts w:hint="default"/>
                <w:color w:val="000000"/>
                <w:sz w:val="21"/>
                <w:szCs w:val="21"/>
                <w:lang w:val="en-US" w:eastAsia="zh-CN"/>
              </w:rPr>
              <w:t>-N：</w:t>
            </w:r>
            <w:r>
              <w:rPr>
                <w:rFonts w:hint="eastAsia"/>
                <w:color w:val="000000"/>
                <w:sz w:val="21"/>
                <w:szCs w:val="21"/>
                <w:lang w:val="en-US" w:eastAsia="zh-CN"/>
              </w:rPr>
              <w:t>5</w:t>
            </w:r>
            <w:r>
              <w:rPr>
                <w:rFonts w:hint="default"/>
                <w:color w:val="000000"/>
                <w:sz w:val="21"/>
                <w:szCs w:val="21"/>
                <w:lang w:val="en-US" w:eastAsia="zh-CN"/>
              </w:rPr>
              <w:t>mg/L</w:t>
            </w:r>
            <w:r>
              <w:rPr>
                <w:rFonts w:hint="eastAsia"/>
                <w:color w:val="000000"/>
                <w:sz w:val="21"/>
                <w:szCs w:val="21"/>
                <w:lang w:val="en-US" w:eastAsia="zh-CN"/>
              </w:rPr>
              <w:t>、TN：15mg/L。</w:t>
            </w:r>
            <w:r>
              <w:rPr>
                <w:rFonts w:hint="default" w:ascii="Times New Roman" w:hAnsi="Times New Roman" w:cs="Times New Roman"/>
                <w:color w:val="000000"/>
                <w:sz w:val="21"/>
                <w:szCs w:val="21"/>
              </w:rPr>
              <w:t>根据以上分析，本项目污水源强产生量和排放量见</w:t>
            </w:r>
            <w:r>
              <w:rPr>
                <w:rFonts w:hint="eastAsia" w:cs="Times New Roman"/>
                <w:color w:val="000000"/>
                <w:sz w:val="21"/>
                <w:szCs w:val="21"/>
                <w:lang w:val="en-US" w:eastAsia="zh-CN"/>
              </w:rPr>
              <w:t>下表</w:t>
            </w:r>
            <w:r>
              <w:rPr>
                <w:rFonts w:hint="default" w:ascii="Times New Roman" w:hAnsi="Times New Roman" w:cs="Times New Roman"/>
                <w:color w:val="000000"/>
                <w:sz w:val="21"/>
                <w:szCs w:val="21"/>
              </w:rPr>
              <w:t>。</w:t>
            </w:r>
          </w:p>
          <w:p w14:paraId="401CBFFF">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rPr>
            </w:pPr>
            <w:r>
              <w:rPr>
                <w:rFonts w:hint="default" w:ascii="Times New Roman" w:hAnsi="Times New Roman" w:cs="Times New Roman"/>
                <w:b/>
                <w:bCs/>
                <w:color w:val="000000"/>
                <w:sz w:val="21"/>
                <w:szCs w:val="21"/>
              </w:rPr>
              <w:t>表</w:t>
            </w:r>
            <w:r>
              <w:rPr>
                <w:rFonts w:hint="default" w:ascii="Times New Roman" w:hAnsi="Times New Roman" w:cs="Times New Roman"/>
                <w:b/>
                <w:bCs/>
                <w:color w:val="000000"/>
                <w:sz w:val="21"/>
                <w:szCs w:val="21"/>
                <w:lang w:val="en-US" w:eastAsia="zh-CN"/>
              </w:rPr>
              <w:t>4</w:t>
            </w:r>
            <w:r>
              <w:rPr>
                <w:rFonts w:hint="default" w:ascii="Times New Roman" w:hAnsi="Times New Roman" w:cs="Times New Roman"/>
                <w:b/>
                <w:bCs/>
                <w:color w:val="000000"/>
                <w:sz w:val="21"/>
                <w:szCs w:val="21"/>
              </w:rPr>
              <w:t>-</w:t>
            </w:r>
            <w:r>
              <w:rPr>
                <w:rFonts w:hint="eastAsia" w:cs="Times New Roman"/>
                <w:b/>
                <w:bCs/>
                <w:color w:val="000000"/>
                <w:sz w:val="21"/>
                <w:szCs w:val="21"/>
                <w:lang w:val="en-US" w:eastAsia="zh-CN"/>
              </w:rPr>
              <w:t>1</w:t>
            </w:r>
            <w:r>
              <w:rPr>
                <w:rFonts w:hint="default" w:ascii="Times New Roman" w:hAnsi="Times New Roman" w:cs="Times New Roman"/>
                <w:b/>
                <w:bCs/>
                <w:color w:val="000000"/>
                <w:sz w:val="21"/>
                <w:szCs w:val="21"/>
              </w:rPr>
              <w:t xml:space="preserve"> </w:t>
            </w:r>
            <w:r>
              <w:rPr>
                <w:rFonts w:hint="default" w:ascii="Times New Roman" w:hAnsi="Times New Roman" w:cs="Times New Roman"/>
                <w:b/>
                <w:bCs/>
                <w:color w:val="000000"/>
                <w:sz w:val="21"/>
                <w:szCs w:val="21"/>
                <w:lang w:val="en-US" w:eastAsia="zh-CN"/>
              </w:rPr>
              <w:t xml:space="preserve"> </w:t>
            </w:r>
            <w:r>
              <w:rPr>
                <w:rFonts w:hint="default" w:ascii="Times New Roman" w:hAnsi="Times New Roman" w:cs="Times New Roman"/>
                <w:b/>
                <w:bCs/>
                <w:color w:val="000000"/>
                <w:sz w:val="21"/>
                <w:szCs w:val="21"/>
              </w:rPr>
              <w:t>项目主要水污染物源强</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454"/>
              <w:gridCol w:w="565"/>
              <w:gridCol w:w="1063"/>
              <w:gridCol w:w="618"/>
              <w:gridCol w:w="621"/>
              <w:gridCol w:w="618"/>
              <w:gridCol w:w="621"/>
              <w:gridCol w:w="618"/>
              <w:gridCol w:w="618"/>
              <w:gridCol w:w="3"/>
              <w:gridCol w:w="613"/>
              <w:gridCol w:w="618"/>
              <w:gridCol w:w="619"/>
              <w:gridCol w:w="619"/>
              <w:gridCol w:w="8"/>
            </w:tblGrid>
            <w:tr w14:paraId="22F84C2A">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615" w:type="pct"/>
                  <w:gridSpan w:val="2"/>
                  <w:vMerge w:val="restart"/>
                  <w:tcBorders>
                    <w:tl2br w:val="nil"/>
                    <w:tr2bl w:val="nil"/>
                  </w:tcBorders>
                  <w:noWrap w:val="0"/>
                  <w:tcMar>
                    <w:top w:w="15" w:type="dxa"/>
                    <w:left w:w="15" w:type="dxa"/>
                    <w:right w:w="15" w:type="dxa"/>
                  </w:tcMar>
                  <w:vAlign w:val="center"/>
                </w:tcPr>
                <w:p w14:paraId="2ABCD3E7">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类别</w:t>
                  </w:r>
                </w:p>
              </w:tc>
              <w:tc>
                <w:tcPr>
                  <w:tcW w:w="642" w:type="pct"/>
                  <w:vMerge w:val="restart"/>
                  <w:tcBorders>
                    <w:tl2br w:val="single" w:color="000000" w:sz="2" w:space="0"/>
                  </w:tcBorders>
                  <w:noWrap w:val="0"/>
                  <w:tcMar>
                    <w:top w:w="15" w:type="dxa"/>
                    <w:left w:w="15" w:type="dxa"/>
                    <w:right w:w="15" w:type="dxa"/>
                  </w:tcMar>
                  <w:vAlign w:val="center"/>
                </w:tcPr>
                <w:p w14:paraId="28BE7C8B">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u w:val="none"/>
                      <w:lang w:val="en-US" w:eastAsia="zh-CN"/>
                    </w:rPr>
                  </w:pPr>
                  <w:r>
                    <w:rPr>
                      <w:rFonts w:hint="eastAsia" w:cs="Times New Roman"/>
                      <w:b/>
                      <w:bCs/>
                      <w:color w:val="000000"/>
                      <w:sz w:val="21"/>
                      <w:szCs w:val="21"/>
                      <w:u w:val="none"/>
                      <w:lang w:val="en-US" w:eastAsia="zh-CN"/>
                    </w:rPr>
                    <w:t xml:space="preserve">  </w:t>
                  </w:r>
                  <w:r>
                    <w:rPr>
                      <w:rFonts w:hint="default" w:ascii="Times New Roman" w:hAnsi="Times New Roman" w:cs="Times New Roman"/>
                      <w:b/>
                      <w:bCs/>
                      <w:color w:val="000000"/>
                      <w:sz w:val="21"/>
                      <w:szCs w:val="21"/>
                      <w:u w:val="none"/>
                      <w:lang w:val="en-US" w:eastAsia="zh-CN"/>
                    </w:rPr>
                    <w:t>污染物</w:t>
                  </w:r>
                </w:p>
                <w:p w14:paraId="3FE11E73">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u w:val="none"/>
                      <w:lang w:val="en-US" w:eastAsia="zh-CN"/>
                    </w:rPr>
                  </w:pPr>
                  <w:r>
                    <w:rPr>
                      <w:rFonts w:hint="eastAsia" w:cs="Times New Roman"/>
                      <w:b/>
                      <w:bCs/>
                      <w:color w:val="000000"/>
                      <w:sz w:val="21"/>
                      <w:szCs w:val="21"/>
                      <w:u w:val="none"/>
                      <w:lang w:val="en-US" w:eastAsia="zh-CN"/>
                    </w:rPr>
                    <w:t xml:space="preserve">     </w:t>
                  </w:r>
                  <w:r>
                    <w:rPr>
                      <w:rFonts w:hint="default" w:ascii="Times New Roman" w:hAnsi="Times New Roman" w:cs="Times New Roman"/>
                      <w:b/>
                      <w:bCs/>
                      <w:color w:val="000000"/>
                      <w:sz w:val="21"/>
                      <w:szCs w:val="21"/>
                      <w:u w:val="none"/>
                      <w:lang w:val="en-US" w:eastAsia="zh-CN"/>
                    </w:rPr>
                    <w:t>类别</w:t>
                  </w:r>
                </w:p>
                <w:p w14:paraId="2D72EC0F">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leftChars="0" w:right="0" w:rightChars="0" w:firstLine="211" w:firstLineChars="100"/>
                    <w:jc w:val="both"/>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u w:val="none"/>
                      <w:lang w:val="en-US" w:eastAsia="zh-CN"/>
                    </w:rPr>
                    <w:t>污水量</w:t>
                  </w:r>
                </w:p>
              </w:tc>
              <w:tc>
                <w:tcPr>
                  <w:tcW w:w="748" w:type="pct"/>
                  <w:gridSpan w:val="2"/>
                  <w:tcBorders>
                    <w:tl2br w:val="nil"/>
                    <w:tr2bl w:val="nil"/>
                  </w:tcBorders>
                  <w:noWrap w:val="0"/>
                  <w:tcMar>
                    <w:top w:w="15" w:type="dxa"/>
                    <w:left w:w="15" w:type="dxa"/>
                    <w:right w:w="15" w:type="dxa"/>
                  </w:tcMar>
                  <w:vAlign w:val="center"/>
                </w:tcPr>
                <w:p w14:paraId="4CFD4ADF">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COD</w:t>
                  </w:r>
                </w:p>
              </w:tc>
              <w:tc>
                <w:tcPr>
                  <w:tcW w:w="748" w:type="pct"/>
                  <w:gridSpan w:val="2"/>
                  <w:tcBorders>
                    <w:tl2br w:val="nil"/>
                    <w:tr2bl w:val="nil"/>
                  </w:tcBorders>
                  <w:noWrap w:val="0"/>
                  <w:tcMar>
                    <w:top w:w="15" w:type="dxa"/>
                    <w:left w:w="15" w:type="dxa"/>
                    <w:right w:w="15" w:type="dxa"/>
                  </w:tcMar>
                  <w:vAlign w:val="center"/>
                </w:tcPr>
                <w:p w14:paraId="766417CB">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BOD</w:t>
                  </w:r>
                  <w:r>
                    <w:rPr>
                      <w:rFonts w:hint="default" w:ascii="Times New Roman" w:hAnsi="Times New Roman" w:cs="Times New Roman"/>
                      <w:b/>
                      <w:bCs/>
                      <w:color w:val="000000"/>
                      <w:sz w:val="21"/>
                      <w:szCs w:val="21"/>
                      <w:vertAlign w:val="subscript"/>
                      <w:lang w:val="en-US" w:eastAsia="zh-CN"/>
                    </w:rPr>
                    <w:t>5</w:t>
                  </w:r>
                </w:p>
              </w:tc>
              <w:tc>
                <w:tcPr>
                  <w:tcW w:w="748" w:type="pct"/>
                  <w:gridSpan w:val="3"/>
                  <w:tcBorders>
                    <w:tl2br w:val="nil"/>
                    <w:tr2bl w:val="nil"/>
                  </w:tcBorders>
                  <w:noWrap w:val="0"/>
                  <w:tcMar>
                    <w:top w:w="15" w:type="dxa"/>
                    <w:left w:w="15" w:type="dxa"/>
                    <w:right w:w="15" w:type="dxa"/>
                  </w:tcMar>
                  <w:vAlign w:val="center"/>
                </w:tcPr>
                <w:p w14:paraId="62AE69D0">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SS</w:t>
                  </w:r>
                </w:p>
              </w:tc>
              <w:tc>
                <w:tcPr>
                  <w:tcW w:w="743" w:type="pct"/>
                  <w:gridSpan w:val="2"/>
                  <w:tcBorders>
                    <w:tl2br w:val="nil"/>
                    <w:tr2bl w:val="nil"/>
                  </w:tcBorders>
                  <w:noWrap w:val="0"/>
                  <w:tcMar>
                    <w:top w:w="15" w:type="dxa"/>
                    <w:left w:w="15" w:type="dxa"/>
                    <w:right w:w="15" w:type="dxa"/>
                  </w:tcMar>
                  <w:vAlign w:val="center"/>
                </w:tcPr>
                <w:p w14:paraId="50178706">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NH</w:t>
                  </w:r>
                  <w:r>
                    <w:rPr>
                      <w:rFonts w:hint="default" w:ascii="Times New Roman" w:hAnsi="Times New Roman" w:cs="Times New Roman"/>
                      <w:b/>
                      <w:bCs/>
                      <w:color w:val="000000"/>
                      <w:sz w:val="21"/>
                      <w:szCs w:val="21"/>
                      <w:vertAlign w:val="subscript"/>
                      <w:lang w:val="en-US" w:eastAsia="zh-CN"/>
                    </w:rPr>
                    <w:t>3</w:t>
                  </w:r>
                  <w:r>
                    <w:rPr>
                      <w:rFonts w:hint="default" w:ascii="Times New Roman" w:hAnsi="Times New Roman" w:cs="Times New Roman"/>
                      <w:b/>
                      <w:bCs/>
                      <w:color w:val="000000"/>
                      <w:sz w:val="21"/>
                      <w:szCs w:val="21"/>
                      <w:lang w:val="en-US" w:eastAsia="zh-CN"/>
                    </w:rPr>
                    <w:t>-N</w:t>
                  </w:r>
                </w:p>
              </w:tc>
              <w:tc>
                <w:tcPr>
                  <w:tcW w:w="752" w:type="pct"/>
                  <w:gridSpan w:val="3"/>
                  <w:tcBorders>
                    <w:tl2br w:val="nil"/>
                    <w:tr2bl w:val="nil"/>
                  </w:tcBorders>
                  <w:noWrap w:val="0"/>
                  <w:tcMar>
                    <w:top w:w="15" w:type="dxa"/>
                    <w:left w:w="15" w:type="dxa"/>
                    <w:right w:w="15" w:type="dxa"/>
                  </w:tcMar>
                  <w:vAlign w:val="center"/>
                </w:tcPr>
                <w:p w14:paraId="3B92DBAD">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lang w:val="en-US" w:eastAsia="zh-CN"/>
                    </w:rPr>
                  </w:pPr>
                  <w:r>
                    <w:rPr>
                      <w:rFonts w:hint="eastAsia" w:cs="Times New Roman"/>
                      <w:b/>
                      <w:bCs/>
                      <w:color w:val="000000"/>
                      <w:sz w:val="21"/>
                      <w:szCs w:val="21"/>
                      <w:lang w:val="en-US" w:eastAsia="zh-CN"/>
                    </w:rPr>
                    <w:t>TN</w:t>
                  </w:r>
                </w:p>
              </w:tc>
            </w:tr>
            <w:tr w14:paraId="79205127">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340" w:hRule="atLeast"/>
                <w:tblHeader/>
                <w:jc w:val="center"/>
              </w:trPr>
              <w:tc>
                <w:tcPr>
                  <w:tcW w:w="615" w:type="pct"/>
                  <w:gridSpan w:val="2"/>
                  <w:vMerge w:val="continue"/>
                  <w:tcBorders>
                    <w:tl2br w:val="nil"/>
                    <w:tr2bl w:val="nil"/>
                  </w:tcBorders>
                  <w:noWrap w:val="0"/>
                  <w:tcMar>
                    <w:top w:w="15" w:type="dxa"/>
                    <w:left w:w="15" w:type="dxa"/>
                    <w:right w:w="15" w:type="dxa"/>
                  </w:tcMar>
                  <w:vAlign w:val="center"/>
                </w:tcPr>
                <w:p w14:paraId="22EDBB38">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rPr>
                      <w:rFonts w:hint="default" w:ascii="Times New Roman" w:hAnsi="Times New Roman" w:cs="Times New Roman"/>
                      <w:b/>
                      <w:bCs/>
                      <w:color w:val="000000"/>
                      <w:sz w:val="21"/>
                      <w:szCs w:val="21"/>
                    </w:rPr>
                  </w:pPr>
                </w:p>
              </w:tc>
              <w:tc>
                <w:tcPr>
                  <w:tcW w:w="642" w:type="pct"/>
                  <w:vMerge w:val="continue"/>
                  <w:tcBorders>
                    <w:tl2br w:val="nil"/>
                    <w:tr2bl w:val="nil"/>
                  </w:tcBorders>
                  <w:noWrap w:val="0"/>
                  <w:tcMar>
                    <w:top w:w="15" w:type="dxa"/>
                    <w:left w:w="15" w:type="dxa"/>
                    <w:right w:w="15" w:type="dxa"/>
                  </w:tcMar>
                  <w:vAlign w:val="center"/>
                </w:tcPr>
                <w:p w14:paraId="1B863731">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rPr>
                      <w:rFonts w:hint="default" w:ascii="Times New Roman" w:hAnsi="Times New Roman" w:cs="Times New Roman"/>
                      <w:b/>
                      <w:bCs/>
                      <w:color w:val="000000"/>
                      <w:sz w:val="21"/>
                      <w:szCs w:val="21"/>
                    </w:rPr>
                  </w:pPr>
                </w:p>
              </w:tc>
              <w:tc>
                <w:tcPr>
                  <w:tcW w:w="373" w:type="pct"/>
                  <w:tcBorders>
                    <w:tl2br w:val="nil"/>
                    <w:tr2bl w:val="nil"/>
                  </w:tcBorders>
                  <w:noWrap w:val="0"/>
                  <w:tcMar>
                    <w:top w:w="15" w:type="dxa"/>
                    <w:left w:w="15" w:type="dxa"/>
                    <w:right w:w="15" w:type="dxa"/>
                  </w:tcMar>
                  <w:vAlign w:val="center"/>
                </w:tcPr>
                <w:p w14:paraId="6B87B1F6">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浓度</w:t>
                  </w:r>
                </w:p>
              </w:tc>
              <w:tc>
                <w:tcPr>
                  <w:tcW w:w="375" w:type="pct"/>
                  <w:tcBorders>
                    <w:tl2br w:val="nil"/>
                    <w:tr2bl w:val="nil"/>
                  </w:tcBorders>
                  <w:noWrap w:val="0"/>
                  <w:tcMar>
                    <w:top w:w="15" w:type="dxa"/>
                    <w:left w:w="15" w:type="dxa"/>
                    <w:right w:w="15" w:type="dxa"/>
                  </w:tcMar>
                  <w:vAlign w:val="center"/>
                </w:tcPr>
                <w:p w14:paraId="5BEBE1D1">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总量</w:t>
                  </w:r>
                </w:p>
              </w:tc>
              <w:tc>
                <w:tcPr>
                  <w:tcW w:w="373" w:type="pct"/>
                  <w:tcBorders>
                    <w:tl2br w:val="nil"/>
                    <w:tr2bl w:val="nil"/>
                  </w:tcBorders>
                  <w:noWrap w:val="0"/>
                  <w:tcMar>
                    <w:top w:w="15" w:type="dxa"/>
                    <w:left w:w="15" w:type="dxa"/>
                    <w:right w:w="15" w:type="dxa"/>
                  </w:tcMar>
                  <w:vAlign w:val="center"/>
                </w:tcPr>
                <w:p w14:paraId="7837B041">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浓度</w:t>
                  </w:r>
                </w:p>
              </w:tc>
              <w:tc>
                <w:tcPr>
                  <w:tcW w:w="375" w:type="pct"/>
                  <w:tcBorders>
                    <w:tl2br w:val="nil"/>
                    <w:tr2bl w:val="nil"/>
                  </w:tcBorders>
                  <w:noWrap w:val="0"/>
                  <w:tcMar>
                    <w:top w:w="15" w:type="dxa"/>
                    <w:left w:w="15" w:type="dxa"/>
                    <w:right w:w="15" w:type="dxa"/>
                  </w:tcMar>
                  <w:vAlign w:val="center"/>
                </w:tcPr>
                <w:p w14:paraId="4413D367">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总量</w:t>
                  </w:r>
                </w:p>
              </w:tc>
              <w:tc>
                <w:tcPr>
                  <w:tcW w:w="373" w:type="pct"/>
                  <w:tcBorders>
                    <w:tl2br w:val="nil"/>
                    <w:tr2bl w:val="nil"/>
                  </w:tcBorders>
                  <w:noWrap w:val="0"/>
                  <w:tcMar>
                    <w:top w:w="15" w:type="dxa"/>
                    <w:left w:w="15" w:type="dxa"/>
                    <w:right w:w="15" w:type="dxa"/>
                  </w:tcMar>
                  <w:vAlign w:val="center"/>
                </w:tcPr>
                <w:p w14:paraId="571E451F">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浓度</w:t>
                  </w:r>
                </w:p>
              </w:tc>
              <w:tc>
                <w:tcPr>
                  <w:tcW w:w="373" w:type="pct"/>
                  <w:tcBorders>
                    <w:tl2br w:val="nil"/>
                    <w:tr2bl w:val="nil"/>
                  </w:tcBorders>
                  <w:noWrap w:val="0"/>
                  <w:tcMar>
                    <w:top w:w="15" w:type="dxa"/>
                    <w:left w:w="15" w:type="dxa"/>
                    <w:right w:w="15" w:type="dxa"/>
                  </w:tcMar>
                  <w:vAlign w:val="center"/>
                </w:tcPr>
                <w:p w14:paraId="6F086F15">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总量</w:t>
                  </w:r>
                </w:p>
              </w:tc>
              <w:tc>
                <w:tcPr>
                  <w:tcW w:w="372" w:type="pct"/>
                  <w:gridSpan w:val="2"/>
                  <w:tcBorders>
                    <w:tl2br w:val="nil"/>
                    <w:tr2bl w:val="nil"/>
                  </w:tcBorders>
                  <w:noWrap w:val="0"/>
                  <w:tcMar>
                    <w:top w:w="15" w:type="dxa"/>
                    <w:left w:w="15" w:type="dxa"/>
                    <w:right w:w="15" w:type="dxa"/>
                  </w:tcMar>
                  <w:vAlign w:val="center"/>
                </w:tcPr>
                <w:p w14:paraId="418F7FE4">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浓度</w:t>
                  </w:r>
                </w:p>
              </w:tc>
              <w:tc>
                <w:tcPr>
                  <w:tcW w:w="373" w:type="pct"/>
                  <w:tcBorders>
                    <w:tl2br w:val="nil"/>
                    <w:tr2bl w:val="nil"/>
                  </w:tcBorders>
                  <w:noWrap w:val="0"/>
                  <w:tcMar>
                    <w:top w:w="15" w:type="dxa"/>
                    <w:left w:w="15" w:type="dxa"/>
                    <w:right w:w="15" w:type="dxa"/>
                  </w:tcMar>
                  <w:vAlign w:val="center"/>
                </w:tcPr>
                <w:p w14:paraId="13DB8942">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总量</w:t>
                  </w:r>
                </w:p>
              </w:tc>
              <w:tc>
                <w:tcPr>
                  <w:tcW w:w="373" w:type="pct"/>
                  <w:tcBorders>
                    <w:tl2br w:val="nil"/>
                    <w:tr2bl w:val="nil"/>
                  </w:tcBorders>
                  <w:noWrap w:val="0"/>
                  <w:tcMar>
                    <w:top w:w="15" w:type="dxa"/>
                    <w:left w:w="15" w:type="dxa"/>
                    <w:right w:w="15" w:type="dxa"/>
                  </w:tcMar>
                  <w:vAlign w:val="center"/>
                </w:tcPr>
                <w:p w14:paraId="5160244A">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cs="Times New Roman"/>
                      <w:b/>
                      <w:bCs/>
                      <w:color w:val="000000"/>
                      <w:sz w:val="21"/>
                      <w:szCs w:val="21"/>
                      <w:lang w:val="en-US" w:eastAsia="zh-CN"/>
                    </w:rPr>
                    <w:t>浓度</w:t>
                  </w:r>
                </w:p>
              </w:tc>
              <w:tc>
                <w:tcPr>
                  <w:tcW w:w="373" w:type="pct"/>
                  <w:tcBorders>
                    <w:tl2br w:val="nil"/>
                    <w:tr2bl w:val="nil"/>
                  </w:tcBorders>
                  <w:noWrap w:val="0"/>
                  <w:tcMar>
                    <w:top w:w="15" w:type="dxa"/>
                    <w:left w:w="15" w:type="dxa"/>
                    <w:right w:w="15" w:type="dxa"/>
                  </w:tcMar>
                  <w:vAlign w:val="center"/>
                </w:tcPr>
                <w:p w14:paraId="74B98A56">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cs="Times New Roman"/>
                      <w:b/>
                      <w:bCs/>
                      <w:color w:val="000000"/>
                      <w:sz w:val="21"/>
                      <w:szCs w:val="21"/>
                      <w:lang w:val="en-US" w:eastAsia="zh-CN"/>
                    </w:rPr>
                    <w:t>总量</w:t>
                  </w:r>
                </w:p>
              </w:tc>
            </w:tr>
            <w:tr w14:paraId="5AB6D5B9">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340" w:hRule="atLeast"/>
                <w:tblHeader/>
                <w:jc w:val="center"/>
              </w:trPr>
              <w:tc>
                <w:tcPr>
                  <w:tcW w:w="615" w:type="pct"/>
                  <w:gridSpan w:val="2"/>
                  <w:vMerge w:val="continue"/>
                  <w:tcBorders>
                    <w:tl2br w:val="nil"/>
                    <w:tr2bl w:val="nil"/>
                  </w:tcBorders>
                  <w:noWrap w:val="0"/>
                  <w:tcMar>
                    <w:top w:w="15" w:type="dxa"/>
                    <w:left w:w="15" w:type="dxa"/>
                    <w:right w:w="15" w:type="dxa"/>
                  </w:tcMar>
                  <w:vAlign w:val="center"/>
                </w:tcPr>
                <w:p w14:paraId="4FD27007">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rPr>
                      <w:rFonts w:hint="default" w:ascii="Times New Roman" w:hAnsi="Times New Roman" w:cs="Times New Roman"/>
                      <w:b/>
                      <w:bCs/>
                      <w:color w:val="000000"/>
                      <w:sz w:val="21"/>
                      <w:szCs w:val="21"/>
                    </w:rPr>
                  </w:pPr>
                </w:p>
              </w:tc>
              <w:tc>
                <w:tcPr>
                  <w:tcW w:w="642" w:type="pct"/>
                  <w:vMerge w:val="continue"/>
                  <w:tcBorders>
                    <w:tl2br w:val="nil"/>
                    <w:tr2bl w:val="nil"/>
                  </w:tcBorders>
                  <w:noWrap w:val="0"/>
                  <w:tcMar>
                    <w:top w:w="15" w:type="dxa"/>
                    <w:left w:w="15" w:type="dxa"/>
                    <w:right w:w="15" w:type="dxa"/>
                  </w:tcMar>
                  <w:vAlign w:val="center"/>
                </w:tcPr>
                <w:p w14:paraId="70DDA722">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rPr>
                      <w:rFonts w:hint="default" w:ascii="Times New Roman" w:hAnsi="Times New Roman" w:cs="Times New Roman"/>
                      <w:b/>
                      <w:bCs/>
                      <w:color w:val="000000"/>
                      <w:sz w:val="21"/>
                      <w:szCs w:val="21"/>
                    </w:rPr>
                  </w:pPr>
                </w:p>
              </w:tc>
              <w:tc>
                <w:tcPr>
                  <w:tcW w:w="373" w:type="pct"/>
                  <w:tcBorders>
                    <w:tl2br w:val="nil"/>
                    <w:tr2bl w:val="nil"/>
                  </w:tcBorders>
                  <w:noWrap w:val="0"/>
                  <w:tcMar>
                    <w:top w:w="15" w:type="dxa"/>
                    <w:left w:w="15" w:type="dxa"/>
                    <w:right w:w="15" w:type="dxa"/>
                  </w:tcMar>
                  <w:vAlign w:val="center"/>
                </w:tcPr>
                <w:p w14:paraId="663D8D11">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mg/L</w:t>
                  </w:r>
                </w:p>
              </w:tc>
              <w:tc>
                <w:tcPr>
                  <w:tcW w:w="375" w:type="pct"/>
                  <w:tcBorders>
                    <w:tl2br w:val="nil"/>
                    <w:tr2bl w:val="nil"/>
                  </w:tcBorders>
                  <w:noWrap w:val="0"/>
                  <w:tcMar>
                    <w:top w:w="15" w:type="dxa"/>
                    <w:left w:w="15" w:type="dxa"/>
                    <w:right w:w="15" w:type="dxa"/>
                  </w:tcMar>
                  <w:vAlign w:val="center"/>
                </w:tcPr>
                <w:p w14:paraId="33104221">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t/a</w:t>
                  </w:r>
                </w:p>
              </w:tc>
              <w:tc>
                <w:tcPr>
                  <w:tcW w:w="373" w:type="pct"/>
                  <w:tcBorders>
                    <w:tl2br w:val="nil"/>
                    <w:tr2bl w:val="nil"/>
                  </w:tcBorders>
                  <w:noWrap w:val="0"/>
                  <w:tcMar>
                    <w:top w:w="15" w:type="dxa"/>
                    <w:left w:w="15" w:type="dxa"/>
                    <w:right w:w="15" w:type="dxa"/>
                  </w:tcMar>
                  <w:vAlign w:val="center"/>
                </w:tcPr>
                <w:p w14:paraId="23BC11C2">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mg/L</w:t>
                  </w:r>
                </w:p>
              </w:tc>
              <w:tc>
                <w:tcPr>
                  <w:tcW w:w="375" w:type="pct"/>
                  <w:tcBorders>
                    <w:tl2br w:val="nil"/>
                    <w:tr2bl w:val="nil"/>
                  </w:tcBorders>
                  <w:noWrap w:val="0"/>
                  <w:tcMar>
                    <w:top w:w="15" w:type="dxa"/>
                    <w:left w:w="15" w:type="dxa"/>
                    <w:right w:w="15" w:type="dxa"/>
                  </w:tcMar>
                  <w:vAlign w:val="center"/>
                </w:tcPr>
                <w:p w14:paraId="7E6F41D1">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t/a</w:t>
                  </w:r>
                </w:p>
              </w:tc>
              <w:tc>
                <w:tcPr>
                  <w:tcW w:w="373" w:type="pct"/>
                  <w:tcBorders>
                    <w:tl2br w:val="nil"/>
                    <w:tr2bl w:val="nil"/>
                  </w:tcBorders>
                  <w:noWrap w:val="0"/>
                  <w:tcMar>
                    <w:top w:w="15" w:type="dxa"/>
                    <w:left w:w="15" w:type="dxa"/>
                    <w:right w:w="15" w:type="dxa"/>
                  </w:tcMar>
                  <w:vAlign w:val="center"/>
                </w:tcPr>
                <w:p w14:paraId="15E3837A">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mg/L</w:t>
                  </w:r>
                </w:p>
              </w:tc>
              <w:tc>
                <w:tcPr>
                  <w:tcW w:w="373" w:type="pct"/>
                  <w:tcBorders>
                    <w:tl2br w:val="nil"/>
                    <w:tr2bl w:val="nil"/>
                  </w:tcBorders>
                  <w:noWrap w:val="0"/>
                  <w:tcMar>
                    <w:top w:w="15" w:type="dxa"/>
                    <w:left w:w="15" w:type="dxa"/>
                    <w:right w:w="15" w:type="dxa"/>
                  </w:tcMar>
                  <w:vAlign w:val="center"/>
                </w:tcPr>
                <w:p w14:paraId="5CE79B40">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t/a</w:t>
                  </w:r>
                </w:p>
              </w:tc>
              <w:tc>
                <w:tcPr>
                  <w:tcW w:w="372" w:type="pct"/>
                  <w:gridSpan w:val="2"/>
                  <w:tcBorders>
                    <w:tl2br w:val="nil"/>
                    <w:tr2bl w:val="nil"/>
                  </w:tcBorders>
                  <w:noWrap w:val="0"/>
                  <w:tcMar>
                    <w:top w:w="15" w:type="dxa"/>
                    <w:left w:w="15" w:type="dxa"/>
                    <w:right w:w="15" w:type="dxa"/>
                  </w:tcMar>
                  <w:vAlign w:val="center"/>
                </w:tcPr>
                <w:p w14:paraId="6DE023E4">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mg/L</w:t>
                  </w:r>
                </w:p>
              </w:tc>
              <w:tc>
                <w:tcPr>
                  <w:tcW w:w="373" w:type="pct"/>
                  <w:tcBorders>
                    <w:tl2br w:val="nil"/>
                    <w:tr2bl w:val="nil"/>
                  </w:tcBorders>
                  <w:noWrap w:val="0"/>
                  <w:tcMar>
                    <w:top w:w="15" w:type="dxa"/>
                    <w:left w:w="15" w:type="dxa"/>
                    <w:right w:w="15" w:type="dxa"/>
                  </w:tcMar>
                  <w:vAlign w:val="center"/>
                </w:tcPr>
                <w:p w14:paraId="2806F5E7">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eastAsia="zh-CN"/>
                    </w:rPr>
                    <w:t>t/a</w:t>
                  </w:r>
                </w:p>
              </w:tc>
              <w:tc>
                <w:tcPr>
                  <w:tcW w:w="373" w:type="pct"/>
                  <w:tcBorders>
                    <w:tl2br w:val="nil"/>
                    <w:tr2bl w:val="nil"/>
                  </w:tcBorders>
                  <w:noWrap w:val="0"/>
                  <w:tcMar>
                    <w:top w:w="15" w:type="dxa"/>
                    <w:left w:w="15" w:type="dxa"/>
                    <w:right w:w="15" w:type="dxa"/>
                  </w:tcMar>
                  <w:vAlign w:val="center"/>
                </w:tcPr>
                <w:p w14:paraId="02A9F740">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cs="Times New Roman"/>
                      <w:b/>
                      <w:bCs/>
                      <w:color w:val="000000"/>
                      <w:sz w:val="21"/>
                      <w:szCs w:val="21"/>
                      <w:lang w:val="en-US" w:eastAsia="zh-CN"/>
                    </w:rPr>
                    <w:t>mg/L</w:t>
                  </w:r>
                </w:p>
              </w:tc>
              <w:tc>
                <w:tcPr>
                  <w:tcW w:w="373" w:type="pct"/>
                  <w:tcBorders>
                    <w:tl2br w:val="nil"/>
                    <w:tr2bl w:val="nil"/>
                  </w:tcBorders>
                  <w:noWrap w:val="0"/>
                  <w:tcMar>
                    <w:top w:w="15" w:type="dxa"/>
                    <w:left w:w="15" w:type="dxa"/>
                    <w:right w:w="15" w:type="dxa"/>
                  </w:tcMar>
                  <w:vAlign w:val="center"/>
                </w:tcPr>
                <w:p w14:paraId="4215B801">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cs="Times New Roman"/>
                      <w:b/>
                      <w:bCs/>
                      <w:color w:val="000000"/>
                      <w:sz w:val="21"/>
                      <w:szCs w:val="21"/>
                      <w:lang w:val="en-US" w:eastAsia="zh-CN"/>
                    </w:rPr>
                    <w:t>t/a</w:t>
                  </w:r>
                </w:p>
              </w:tc>
            </w:tr>
            <w:tr w14:paraId="57A8642F">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340" w:hRule="atLeast"/>
                <w:tblHeader/>
                <w:jc w:val="center"/>
              </w:trPr>
              <w:tc>
                <w:tcPr>
                  <w:tcW w:w="274" w:type="pct"/>
                  <w:vMerge w:val="restart"/>
                  <w:tcBorders>
                    <w:tl2br w:val="nil"/>
                    <w:tr2bl w:val="nil"/>
                  </w:tcBorders>
                  <w:noWrap w:val="0"/>
                  <w:tcMar>
                    <w:top w:w="15" w:type="dxa"/>
                    <w:left w:w="15" w:type="dxa"/>
                    <w:right w:w="15" w:type="dxa"/>
                  </w:tcMar>
                  <w:vAlign w:val="center"/>
                </w:tcPr>
                <w:p w14:paraId="217FF317">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生活污水</w:t>
                  </w:r>
                </w:p>
              </w:tc>
              <w:tc>
                <w:tcPr>
                  <w:tcW w:w="341" w:type="pct"/>
                  <w:tcBorders>
                    <w:tl2br w:val="nil"/>
                    <w:tr2bl w:val="nil"/>
                  </w:tcBorders>
                  <w:noWrap w:val="0"/>
                  <w:tcMar>
                    <w:top w:w="15" w:type="dxa"/>
                    <w:left w:w="15" w:type="dxa"/>
                    <w:right w:w="15" w:type="dxa"/>
                  </w:tcMar>
                  <w:vAlign w:val="center"/>
                </w:tcPr>
                <w:p w14:paraId="5622630C">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产生源强</w:t>
                  </w:r>
                </w:p>
              </w:tc>
              <w:tc>
                <w:tcPr>
                  <w:tcW w:w="642" w:type="pct"/>
                  <w:vMerge w:val="restart"/>
                  <w:tcBorders>
                    <w:tl2br w:val="nil"/>
                    <w:tr2bl w:val="nil"/>
                  </w:tcBorders>
                  <w:noWrap w:val="0"/>
                  <w:tcMar>
                    <w:top w:w="15" w:type="dxa"/>
                    <w:left w:w="15" w:type="dxa"/>
                    <w:right w:w="15" w:type="dxa"/>
                  </w:tcMar>
                  <w:vAlign w:val="center"/>
                </w:tcPr>
                <w:p w14:paraId="597BAE0C">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cs="Times New Roman"/>
                      <w:color w:val="000000"/>
                      <w:sz w:val="21"/>
                      <w:szCs w:val="21"/>
                      <w:highlight w:val="none"/>
                      <w:lang w:val="en-US" w:eastAsia="zh-CN"/>
                    </w:rPr>
                    <w:t>4054.5</w:t>
                  </w:r>
                  <w:r>
                    <w:rPr>
                      <w:rFonts w:hint="default" w:ascii="Times New Roman" w:hAnsi="Times New Roman" w:eastAsia="宋体" w:cs="Times New Roman"/>
                      <w:color w:val="000000"/>
                      <w:kern w:val="0"/>
                      <w:sz w:val="21"/>
                      <w:szCs w:val="21"/>
                      <w:lang w:val="en-US" w:eastAsia="zh-CN"/>
                    </w:rPr>
                    <w:t>t/a</w:t>
                  </w:r>
                </w:p>
              </w:tc>
              <w:tc>
                <w:tcPr>
                  <w:tcW w:w="373" w:type="pct"/>
                  <w:tcBorders>
                    <w:tl2br w:val="nil"/>
                    <w:tr2bl w:val="nil"/>
                  </w:tcBorders>
                  <w:noWrap w:val="0"/>
                  <w:tcMar>
                    <w:top w:w="15" w:type="dxa"/>
                    <w:left w:w="15" w:type="dxa"/>
                    <w:right w:w="15" w:type="dxa"/>
                  </w:tcMar>
                  <w:vAlign w:val="center"/>
                </w:tcPr>
                <w:p w14:paraId="0C019032">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sz w:val="21"/>
                      <w:szCs w:val="21"/>
                      <w:lang w:val="en-US"/>
                    </w:rPr>
                  </w:pPr>
                  <w:r>
                    <w:rPr>
                      <w:rFonts w:hint="default" w:ascii="Times New Roman" w:hAnsi="Times New Roman" w:cs="Times New Roman"/>
                      <w:i w:val="0"/>
                      <w:color w:val="000000"/>
                      <w:kern w:val="0"/>
                      <w:sz w:val="21"/>
                      <w:szCs w:val="21"/>
                      <w:u w:val="none"/>
                      <w:lang w:val="en-US" w:eastAsia="zh-CN" w:bidi="ar"/>
                    </w:rPr>
                    <w:t>340</w:t>
                  </w:r>
                </w:p>
              </w:tc>
              <w:tc>
                <w:tcPr>
                  <w:tcW w:w="375" w:type="pct"/>
                  <w:tcBorders>
                    <w:tl2br w:val="nil"/>
                    <w:tr2bl w:val="nil"/>
                  </w:tcBorders>
                  <w:noWrap w:val="0"/>
                  <w:tcMar>
                    <w:top w:w="15" w:type="dxa"/>
                    <w:left w:w="15" w:type="dxa"/>
                    <w:right w:w="15" w:type="dxa"/>
                  </w:tcMar>
                  <w:vAlign w:val="center"/>
                </w:tcPr>
                <w:p w14:paraId="2F3EAEC5">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3" w:type="pct"/>
                  <w:tcBorders>
                    <w:tl2br w:val="nil"/>
                    <w:tr2bl w:val="nil"/>
                  </w:tcBorders>
                  <w:noWrap w:val="0"/>
                  <w:tcMar>
                    <w:top w:w="15" w:type="dxa"/>
                    <w:left w:w="15" w:type="dxa"/>
                    <w:right w:w="15" w:type="dxa"/>
                  </w:tcMar>
                  <w:vAlign w:val="center"/>
                </w:tcPr>
                <w:p w14:paraId="51F44B25">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sz w:val="21"/>
                      <w:szCs w:val="21"/>
                      <w:lang w:val="en-US"/>
                    </w:rPr>
                  </w:pPr>
                  <w:r>
                    <w:rPr>
                      <w:rFonts w:hint="default" w:ascii="Times New Roman" w:hAnsi="Times New Roman" w:cs="Times New Roman"/>
                      <w:i w:val="0"/>
                      <w:color w:val="000000"/>
                      <w:kern w:val="0"/>
                      <w:sz w:val="21"/>
                      <w:szCs w:val="21"/>
                      <w:u w:val="none"/>
                      <w:lang w:val="en-US" w:eastAsia="zh-CN" w:bidi="ar"/>
                    </w:rPr>
                    <w:t>177</w:t>
                  </w:r>
                </w:p>
              </w:tc>
              <w:tc>
                <w:tcPr>
                  <w:tcW w:w="375" w:type="pct"/>
                  <w:tcBorders>
                    <w:tl2br w:val="nil"/>
                    <w:tr2bl w:val="nil"/>
                  </w:tcBorders>
                  <w:noWrap w:val="0"/>
                  <w:tcMar>
                    <w:top w:w="15" w:type="dxa"/>
                    <w:left w:w="15" w:type="dxa"/>
                    <w:right w:w="15" w:type="dxa"/>
                  </w:tcMar>
                  <w:vAlign w:val="center"/>
                </w:tcPr>
                <w:p w14:paraId="490AE948">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3" w:type="pct"/>
                  <w:tcBorders>
                    <w:tl2br w:val="nil"/>
                    <w:tr2bl w:val="nil"/>
                  </w:tcBorders>
                  <w:noWrap w:val="0"/>
                  <w:tcMar>
                    <w:top w:w="15" w:type="dxa"/>
                    <w:left w:w="15" w:type="dxa"/>
                    <w:right w:w="15" w:type="dxa"/>
                  </w:tcMar>
                  <w:vAlign w:val="center"/>
                </w:tcPr>
                <w:p w14:paraId="4FDFF4AF">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260</w:t>
                  </w:r>
                </w:p>
              </w:tc>
              <w:tc>
                <w:tcPr>
                  <w:tcW w:w="373" w:type="pct"/>
                  <w:tcBorders>
                    <w:tl2br w:val="nil"/>
                    <w:tr2bl w:val="nil"/>
                  </w:tcBorders>
                  <w:noWrap w:val="0"/>
                  <w:tcMar>
                    <w:top w:w="15" w:type="dxa"/>
                    <w:left w:w="15" w:type="dxa"/>
                    <w:right w:w="15" w:type="dxa"/>
                  </w:tcMar>
                  <w:vAlign w:val="center"/>
                </w:tcPr>
                <w:p w14:paraId="5ADBADD6">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2" w:type="pct"/>
                  <w:gridSpan w:val="2"/>
                  <w:tcBorders>
                    <w:tl2br w:val="nil"/>
                    <w:tr2bl w:val="nil"/>
                  </w:tcBorders>
                  <w:noWrap w:val="0"/>
                  <w:tcMar>
                    <w:top w:w="15" w:type="dxa"/>
                    <w:left w:w="15" w:type="dxa"/>
                    <w:right w:w="15" w:type="dxa"/>
                  </w:tcMar>
                  <w:vAlign w:val="center"/>
                </w:tcPr>
                <w:p w14:paraId="138CB300">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sz w:val="21"/>
                      <w:szCs w:val="21"/>
                      <w:lang w:val="en-US"/>
                    </w:rPr>
                  </w:pPr>
                  <w:r>
                    <w:rPr>
                      <w:rFonts w:hint="default" w:ascii="Times New Roman" w:hAnsi="Times New Roman" w:cs="Times New Roman"/>
                      <w:i w:val="0"/>
                      <w:color w:val="000000"/>
                      <w:kern w:val="0"/>
                      <w:sz w:val="21"/>
                      <w:szCs w:val="21"/>
                      <w:u w:val="none"/>
                      <w:lang w:val="en-US" w:eastAsia="zh-CN" w:bidi="ar"/>
                    </w:rPr>
                    <w:t>32.6</w:t>
                  </w:r>
                </w:p>
              </w:tc>
              <w:tc>
                <w:tcPr>
                  <w:tcW w:w="373" w:type="pct"/>
                  <w:tcBorders>
                    <w:tl2br w:val="nil"/>
                    <w:tr2bl w:val="nil"/>
                  </w:tcBorders>
                  <w:noWrap w:val="0"/>
                  <w:tcMar>
                    <w:top w:w="15" w:type="dxa"/>
                    <w:left w:w="15" w:type="dxa"/>
                    <w:right w:w="15" w:type="dxa"/>
                  </w:tcMar>
                  <w:vAlign w:val="center"/>
                </w:tcPr>
                <w:p w14:paraId="01C4A60C">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3" w:type="pct"/>
                  <w:tcBorders>
                    <w:tl2br w:val="nil"/>
                    <w:tr2bl w:val="nil"/>
                  </w:tcBorders>
                  <w:noWrap w:val="0"/>
                  <w:tcMar>
                    <w:top w:w="15" w:type="dxa"/>
                    <w:left w:w="15" w:type="dxa"/>
                    <w:right w:w="15" w:type="dxa"/>
                  </w:tcMar>
                  <w:vAlign w:val="center"/>
                </w:tcPr>
                <w:p w14:paraId="41D3A1DF">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44.8</w:t>
                  </w:r>
                </w:p>
              </w:tc>
              <w:tc>
                <w:tcPr>
                  <w:tcW w:w="373" w:type="pct"/>
                  <w:tcBorders>
                    <w:tl2br w:val="nil"/>
                    <w:tr2bl w:val="nil"/>
                  </w:tcBorders>
                  <w:noWrap w:val="0"/>
                  <w:tcMar>
                    <w:top w:w="15" w:type="dxa"/>
                    <w:left w:w="15" w:type="dxa"/>
                    <w:right w:w="15" w:type="dxa"/>
                  </w:tcMar>
                  <w:vAlign w:val="center"/>
                </w:tcPr>
                <w:p w14:paraId="5993149A">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cs="Times New Roman"/>
                      <w:i w:val="0"/>
                      <w:iCs w:val="0"/>
                      <w:color w:val="000000"/>
                      <w:kern w:val="2"/>
                      <w:sz w:val="21"/>
                      <w:szCs w:val="21"/>
                      <w:u w:val="none"/>
                      <w:lang w:val="en-US" w:eastAsia="zh-CN" w:bidi="ar-SA"/>
                    </w:rPr>
                  </w:pPr>
                </w:p>
              </w:tc>
            </w:tr>
            <w:tr w14:paraId="50F1B17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340" w:hRule="atLeast"/>
                <w:tblHeader/>
                <w:jc w:val="center"/>
              </w:trPr>
              <w:tc>
                <w:tcPr>
                  <w:tcW w:w="274" w:type="pct"/>
                  <w:vMerge w:val="continue"/>
                  <w:tcBorders>
                    <w:tl2br w:val="nil"/>
                    <w:tr2bl w:val="nil"/>
                  </w:tcBorders>
                  <w:noWrap w:val="0"/>
                  <w:tcMar>
                    <w:top w:w="15" w:type="dxa"/>
                    <w:left w:w="15" w:type="dxa"/>
                    <w:right w:w="15" w:type="dxa"/>
                  </w:tcMar>
                  <w:vAlign w:val="center"/>
                </w:tcPr>
                <w:p w14:paraId="56F02B88">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rPr>
                  </w:pPr>
                </w:p>
              </w:tc>
              <w:tc>
                <w:tcPr>
                  <w:tcW w:w="341" w:type="pct"/>
                  <w:tcBorders>
                    <w:tl2br w:val="nil"/>
                    <w:tr2bl w:val="nil"/>
                  </w:tcBorders>
                  <w:noWrap w:val="0"/>
                  <w:tcMar>
                    <w:top w:w="15" w:type="dxa"/>
                    <w:left w:w="15" w:type="dxa"/>
                    <w:right w:w="15" w:type="dxa"/>
                  </w:tcMar>
                  <w:vAlign w:val="center"/>
                </w:tcPr>
                <w:p w14:paraId="0385DE34">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入网源强</w:t>
                  </w:r>
                </w:p>
              </w:tc>
              <w:tc>
                <w:tcPr>
                  <w:tcW w:w="642" w:type="pct"/>
                  <w:vMerge w:val="continue"/>
                  <w:tcBorders>
                    <w:tl2br w:val="nil"/>
                    <w:tr2bl w:val="nil"/>
                  </w:tcBorders>
                  <w:noWrap w:val="0"/>
                  <w:tcMar>
                    <w:top w:w="15" w:type="dxa"/>
                    <w:left w:w="15" w:type="dxa"/>
                    <w:right w:w="15" w:type="dxa"/>
                  </w:tcMar>
                  <w:vAlign w:val="center"/>
                </w:tcPr>
                <w:p w14:paraId="1235F38A">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rPr>
                  </w:pPr>
                </w:p>
              </w:tc>
              <w:tc>
                <w:tcPr>
                  <w:tcW w:w="373" w:type="pct"/>
                  <w:tcBorders>
                    <w:tl2br w:val="nil"/>
                    <w:tr2bl w:val="nil"/>
                  </w:tcBorders>
                  <w:noWrap w:val="0"/>
                  <w:tcMar>
                    <w:top w:w="15" w:type="dxa"/>
                    <w:left w:w="15" w:type="dxa"/>
                    <w:right w:w="15" w:type="dxa"/>
                  </w:tcMar>
                  <w:vAlign w:val="center"/>
                </w:tcPr>
                <w:p w14:paraId="293C89E2">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122.4</w:t>
                  </w:r>
                </w:p>
              </w:tc>
              <w:tc>
                <w:tcPr>
                  <w:tcW w:w="375" w:type="pct"/>
                  <w:tcBorders>
                    <w:tl2br w:val="nil"/>
                    <w:tr2bl w:val="nil"/>
                  </w:tcBorders>
                  <w:noWrap w:val="0"/>
                  <w:tcMar>
                    <w:top w:w="15" w:type="dxa"/>
                    <w:left w:w="15" w:type="dxa"/>
                    <w:right w:w="15" w:type="dxa"/>
                  </w:tcMar>
                  <w:vAlign w:val="center"/>
                </w:tcPr>
                <w:p w14:paraId="08263139">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3" w:type="pct"/>
                  <w:tcBorders>
                    <w:tl2br w:val="nil"/>
                    <w:tr2bl w:val="nil"/>
                  </w:tcBorders>
                  <w:noWrap w:val="0"/>
                  <w:tcMar>
                    <w:top w:w="15" w:type="dxa"/>
                    <w:left w:w="15" w:type="dxa"/>
                    <w:right w:w="15" w:type="dxa"/>
                  </w:tcMar>
                  <w:vAlign w:val="center"/>
                </w:tcPr>
                <w:p w14:paraId="5E83E624">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137</w:t>
                  </w:r>
                </w:p>
              </w:tc>
              <w:tc>
                <w:tcPr>
                  <w:tcW w:w="375" w:type="pct"/>
                  <w:tcBorders>
                    <w:tl2br w:val="nil"/>
                    <w:tr2bl w:val="nil"/>
                  </w:tcBorders>
                  <w:noWrap w:val="0"/>
                  <w:tcMar>
                    <w:top w:w="15" w:type="dxa"/>
                    <w:left w:w="15" w:type="dxa"/>
                    <w:right w:w="15" w:type="dxa"/>
                  </w:tcMar>
                  <w:vAlign w:val="center"/>
                </w:tcPr>
                <w:p w14:paraId="4CBFD08B">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3" w:type="pct"/>
                  <w:tcBorders>
                    <w:tl2br w:val="nil"/>
                    <w:tr2bl w:val="nil"/>
                  </w:tcBorders>
                  <w:noWrap w:val="0"/>
                  <w:tcMar>
                    <w:top w:w="15" w:type="dxa"/>
                    <w:left w:w="15" w:type="dxa"/>
                    <w:right w:w="15" w:type="dxa"/>
                  </w:tcMar>
                  <w:vAlign w:val="center"/>
                </w:tcPr>
                <w:p w14:paraId="54EA08C8">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104</w:t>
                  </w:r>
                </w:p>
              </w:tc>
              <w:tc>
                <w:tcPr>
                  <w:tcW w:w="373" w:type="pct"/>
                  <w:tcBorders>
                    <w:tl2br w:val="nil"/>
                    <w:tr2bl w:val="nil"/>
                  </w:tcBorders>
                  <w:noWrap w:val="0"/>
                  <w:tcMar>
                    <w:top w:w="15" w:type="dxa"/>
                    <w:left w:w="15" w:type="dxa"/>
                    <w:right w:w="15" w:type="dxa"/>
                  </w:tcMar>
                  <w:vAlign w:val="center"/>
                </w:tcPr>
                <w:p w14:paraId="400D965E">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2" w:type="pct"/>
                  <w:gridSpan w:val="2"/>
                  <w:tcBorders>
                    <w:tl2br w:val="nil"/>
                    <w:tr2bl w:val="nil"/>
                  </w:tcBorders>
                  <w:noWrap w:val="0"/>
                  <w:tcMar>
                    <w:top w:w="15" w:type="dxa"/>
                    <w:left w:w="15" w:type="dxa"/>
                    <w:right w:w="15" w:type="dxa"/>
                  </w:tcMar>
                  <w:vAlign w:val="center"/>
                </w:tcPr>
                <w:p w14:paraId="08E1F5C3">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15.3</w:t>
                  </w:r>
                </w:p>
              </w:tc>
              <w:tc>
                <w:tcPr>
                  <w:tcW w:w="373" w:type="pct"/>
                  <w:tcBorders>
                    <w:tl2br w:val="nil"/>
                    <w:tr2bl w:val="nil"/>
                  </w:tcBorders>
                  <w:noWrap w:val="0"/>
                  <w:tcMar>
                    <w:top w:w="15" w:type="dxa"/>
                    <w:left w:w="15" w:type="dxa"/>
                    <w:right w:w="15" w:type="dxa"/>
                  </w:tcMar>
                  <w:vAlign w:val="center"/>
                </w:tcPr>
                <w:p w14:paraId="26882026">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3" w:type="pct"/>
                  <w:tcBorders>
                    <w:tl2br w:val="nil"/>
                    <w:tr2bl w:val="nil"/>
                  </w:tcBorders>
                  <w:noWrap w:val="0"/>
                  <w:tcMar>
                    <w:top w:w="15" w:type="dxa"/>
                    <w:left w:w="15" w:type="dxa"/>
                    <w:right w:w="15" w:type="dxa"/>
                  </w:tcMar>
                  <w:vAlign w:val="center"/>
                </w:tcPr>
                <w:p w14:paraId="78B45E00">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24.2</w:t>
                  </w:r>
                </w:p>
              </w:tc>
              <w:tc>
                <w:tcPr>
                  <w:tcW w:w="373" w:type="pct"/>
                  <w:tcBorders>
                    <w:tl2br w:val="nil"/>
                    <w:tr2bl w:val="nil"/>
                  </w:tcBorders>
                  <w:noWrap w:val="0"/>
                  <w:tcMar>
                    <w:top w:w="15" w:type="dxa"/>
                    <w:left w:w="15" w:type="dxa"/>
                    <w:right w:w="15" w:type="dxa"/>
                  </w:tcMar>
                  <w:vAlign w:val="center"/>
                </w:tcPr>
                <w:p w14:paraId="697C0B43">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cs="Times New Roman"/>
                      <w:i w:val="0"/>
                      <w:iCs w:val="0"/>
                      <w:color w:val="000000"/>
                      <w:kern w:val="2"/>
                      <w:sz w:val="21"/>
                      <w:szCs w:val="21"/>
                      <w:u w:val="none"/>
                      <w:lang w:val="en-US" w:eastAsia="zh-CN" w:bidi="ar-SA"/>
                    </w:rPr>
                  </w:pPr>
                </w:p>
              </w:tc>
            </w:tr>
            <w:tr w14:paraId="2992DBE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340" w:hRule="atLeast"/>
                <w:tblHeader/>
                <w:jc w:val="center"/>
              </w:trPr>
              <w:tc>
                <w:tcPr>
                  <w:tcW w:w="274" w:type="pct"/>
                  <w:vMerge w:val="continue"/>
                  <w:tcBorders>
                    <w:tl2br w:val="nil"/>
                    <w:tr2bl w:val="nil"/>
                  </w:tcBorders>
                  <w:noWrap w:val="0"/>
                  <w:tcMar>
                    <w:top w:w="15" w:type="dxa"/>
                    <w:left w:w="15" w:type="dxa"/>
                    <w:right w:w="15" w:type="dxa"/>
                  </w:tcMar>
                  <w:vAlign w:val="center"/>
                </w:tcPr>
                <w:p w14:paraId="1BF373F9">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rPr>
                  </w:pPr>
                </w:p>
              </w:tc>
              <w:tc>
                <w:tcPr>
                  <w:tcW w:w="341" w:type="pct"/>
                  <w:tcBorders>
                    <w:tl2br w:val="nil"/>
                    <w:tr2bl w:val="nil"/>
                  </w:tcBorders>
                  <w:noWrap w:val="0"/>
                  <w:tcMar>
                    <w:top w:w="15" w:type="dxa"/>
                    <w:left w:w="15" w:type="dxa"/>
                    <w:right w:w="15" w:type="dxa"/>
                  </w:tcMar>
                  <w:vAlign w:val="center"/>
                </w:tcPr>
                <w:p w14:paraId="5BF3BF61">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排放源强</w:t>
                  </w:r>
                </w:p>
              </w:tc>
              <w:tc>
                <w:tcPr>
                  <w:tcW w:w="642" w:type="pct"/>
                  <w:vMerge w:val="continue"/>
                  <w:tcBorders>
                    <w:tl2br w:val="nil"/>
                    <w:tr2bl w:val="nil"/>
                  </w:tcBorders>
                  <w:noWrap w:val="0"/>
                  <w:tcMar>
                    <w:top w:w="15" w:type="dxa"/>
                    <w:left w:w="15" w:type="dxa"/>
                    <w:right w:w="15" w:type="dxa"/>
                  </w:tcMar>
                  <w:vAlign w:val="center"/>
                </w:tcPr>
                <w:p w14:paraId="443D7E4D">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rPr>
                  </w:pPr>
                </w:p>
              </w:tc>
              <w:tc>
                <w:tcPr>
                  <w:tcW w:w="373" w:type="pct"/>
                  <w:tcBorders>
                    <w:tl2br w:val="nil"/>
                    <w:tr2bl w:val="nil"/>
                  </w:tcBorders>
                  <w:noWrap w:val="0"/>
                  <w:tcMar>
                    <w:top w:w="15" w:type="dxa"/>
                    <w:left w:w="15" w:type="dxa"/>
                    <w:right w:w="15" w:type="dxa"/>
                  </w:tcMar>
                  <w:vAlign w:val="center"/>
                </w:tcPr>
                <w:p w14:paraId="4E3A341F">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cs="Times New Roman"/>
                      <w:color w:val="000000"/>
                      <w:sz w:val="21"/>
                      <w:szCs w:val="21"/>
                      <w:lang w:val="en-US"/>
                    </w:rPr>
                  </w:pPr>
                  <w:r>
                    <w:rPr>
                      <w:rFonts w:hint="eastAsia" w:cs="Times New Roman"/>
                      <w:i w:val="0"/>
                      <w:color w:val="000000"/>
                      <w:kern w:val="0"/>
                      <w:sz w:val="21"/>
                      <w:szCs w:val="21"/>
                      <w:u w:val="none"/>
                      <w:lang w:val="en-US" w:eastAsia="zh-CN" w:bidi="ar"/>
                    </w:rPr>
                    <w:t>50</w:t>
                  </w:r>
                </w:p>
              </w:tc>
              <w:tc>
                <w:tcPr>
                  <w:tcW w:w="375" w:type="pct"/>
                  <w:tcBorders>
                    <w:tl2br w:val="nil"/>
                    <w:tr2bl w:val="nil"/>
                  </w:tcBorders>
                  <w:noWrap w:val="0"/>
                  <w:tcMar>
                    <w:top w:w="15" w:type="dxa"/>
                    <w:left w:w="15" w:type="dxa"/>
                    <w:right w:w="15" w:type="dxa"/>
                  </w:tcMar>
                  <w:vAlign w:val="center"/>
                </w:tcPr>
                <w:p w14:paraId="1A44A1A0">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3" w:type="pct"/>
                  <w:tcBorders>
                    <w:tl2br w:val="nil"/>
                    <w:tr2bl w:val="nil"/>
                  </w:tcBorders>
                  <w:noWrap w:val="0"/>
                  <w:tcMar>
                    <w:top w:w="15" w:type="dxa"/>
                    <w:left w:w="15" w:type="dxa"/>
                    <w:right w:w="15" w:type="dxa"/>
                  </w:tcMar>
                  <w:vAlign w:val="center"/>
                </w:tcPr>
                <w:p w14:paraId="56EC696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sz w:val="21"/>
                      <w:szCs w:val="21"/>
                      <w:lang w:val="en-US"/>
                    </w:rPr>
                  </w:pPr>
                  <w:r>
                    <w:rPr>
                      <w:rFonts w:hint="eastAsia" w:cs="Times New Roman"/>
                      <w:color w:val="000000"/>
                      <w:kern w:val="0"/>
                      <w:sz w:val="21"/>
                      <w:szCs w:val="21"/>
                      <w:lang w:val="en-US" w:eastAsia="zh-CN"/>
                    </w:rPr>
                    <w:t>10</w:t>
                  </w:r>
                </w:p>
              </w:tc>
              <w:tc>
                <w:tcPr>
                  <w:tcW w:w="375" w:type="pct"/>
                  <w:tcBorders>
                    <w:tl2br w:val="nil"/>
                    <w:tr2bl w:val="nil"/>
                  </w:tcBorders>
                  <w:noWrap w:val="0"/>
                  <w:tcMar>
                    <w:top w:w="15" w:type="dxa"/>
                    <w:left w:w="15" w:type="dxa"/>
                    <w:right w:w="15" w:type="dxa"/>
                  </w:tcMar>
                  <w:vAlign w:val="center"/>
                </w:tcPr>
                <w:p w14:paraId="105646AC">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3" w:type="pct"/>
                  <w:tcBorders>
                    <w:tl2br w:val="nil"/>
                    <w:tr2bl w:val="nil"/>
                  </w:tcBorders>
                  <w:noWrap w:val="0"/>
                  <w:tcMar>
                    <w:top w:w="15" w:type="dxa"/>
                    <w:left w:w="15" w:type="dxa"/>
                    <w:right w:w="15" w:type="dxa"/>
                  </w:tcMar>
                  <w:vAlign w:val="center"/>
                </w:tcPr>
                <w:p w14:paraId="259740D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val="en-US" w:eastAsia="zh-CN"/>
                    </w:rPr>
                    <w:t>10</w:t>
                  </w:r>
                </w:p>
              </w:tc>
              <w:tc>
                <w:tcPr>
                  <w:tcW w:w="373" w:type="pct"/>
                  <w:tcBorders>
                    <w:tl2br w:val="nil"/>
                    <w:tr2bl w:val="nil"/>
                  </w:tcBorders>
                  <w:noWrap w:val="0"/>
                  <w:tcMar>
                    <w:top w:w="15" w:type="dxa"/>
                    <w:left w:w="15" w:type="dxa"/>
                    <w:right w:w="15" w:type="dxa"/>
                  </w:tcMar>
                  <w:vAlign w:val="center"/>
                </w:tcPr>
                <w:p w14:paraId="3504038B">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2" w:type="pct"/>
                  <w:gridSpan w:val="2"/>
                  <w:tcBorders>
                    <w:tl2br w:val="nil"/>
                    <w:tr2bl w:val="nil"/>
                  </w:tcBorders>
                  <w:noWrap w:val="0"/>
                  <w:tcMar>
                    <w:top w:w="15" w:type="dxa"/>
                    <w:left w:w="15" w:type="dxa"/>
                    <w:right w:w="15" w:type="dxa"/>
                  </w:tcMar>
                  <w:vAlign w:val="center"/>
                </w:tcPr>
                <w:p w14:paraId="546EA2F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sz w:val="21"/>
                      <w:szCs w:val="21"/>
                    </w:rPr>
                  </w:pPr>
                  <w:r>
                    <w:rPr>
                      <w:rFonts w:hint="eastAsia" w:cs="Times New Roman"/>
                      <w:color w:val="000000"/>
                      <w:kern w:val="0"/>
                      <w:sz w:val="21"/>
                      <w:szCs w:val="21"/>
                      <w:lang w:val="en-US" w:eastAsia="zh-CN"/>
                    </w:rPr>
                    <w:t>5</w:t>
                  </w:r>
                </w:p>
              </w:tc>
              <w:tc>
                <w:tcPr>
                  <w:tcW w:w="373" w:type="pct"/>
                  <w:tcBorders>
                    <w:tl2br w:val="nil"/>
                    <w:tr2bl w:val="nil"/>
                  </w:tcBorders>
                  <w:noWrap w:val="0"/>
                  <w:tcMar>
                    <w:top w:w="15" w:type="dxa"/>
                    <w:left w:w="15" w:type="dxa"/>
                    <w:right w:w="15" w:type="dxa"/>
                  </w:tcMar>
                  <w:vAlign w:val="center"/>
                </w:tcPr>
                <w:p w14:paraId="4CDF3845">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373" w:type="pct"/>
                  <w:tcBorders>
                    <w:tl2br w:val="nil"/>
                    <w:tr2bl w:val="nil"/>
                  </w:tcBorders>
                  <w:noWrap w:val="0"/>
                  <w:tcMar>
                    <w:top w:w="15" w:type="dxa"/>
                    <w:left w:w="15" w:type="dxa"/>
                    <w:right w:w="15" w:type="dxa"/>
                  </w:tcMar>
                  <w:vAlign w:val="center"/>
                </w:tcPr>
                <w:p w14:paraId="6184C839">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15</w:t>
                  </w:r>
                </w:p>
              </w:tc>
              <w:tc>
                <w:tcPr>
                  <w:tcW w:w="373" w:type="pct"/>
                  <w:tcBorders>
                    <w:tl2br w:val="nil"/>
                    <w:tr2bl w:val="nil"/>
                  </w:tcBorders>
                  <w:noWrap w:val="0"/>
                  <w:tcMar>
                    <w:top w:w="15" w:type="dxa"/>
                    <w:left w:w="15" w:type="dxa"/>
                    <w:right w:w="15" w:type="dxa"/>
                  </w:tcMar>
                  <w:vAlign w:val="center"/>
                </w:tcPr>
                <w:p w14:paraId="62D9A93F">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center"/>
                    <w:rPr>
                      <w:rFonts w:hint="default" w:cs="Times New Roman"/>
                      <w:i w:val="0"/>
                      <w:iCs w:val="0"/>
                      <w:color w:val="000000"/>
                      <w:kern w:val="2"/>
                      <w:sz w:val="21"/>
                      <w:szCs w:val="21"/>
                      <w:u w:val="none"/>
                      <w:lang w:val="en-US" w:eastAsia="zh-CN" w:bidi="ar-SA"/>
                    </w:rPr>
                  </w:pPr>
                </w:p>
              </w:tc>
            </w:tr>
          </w:tbl>
          <w:p w14:paraId="207724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default"/>
                <w:color w:val="000000"/>
              </w:rPr>
            </w:pPr>
            <w:r>
              <w:rPr>
                <w:rFonts w:hint="default" w:ascii="Times New Roman" w:hAnsi="Times New Roman" w:cs="Times New Roman"/>
                <w:b/>
                <w:bCs/>
                <w:color w:val="000000"/>
                <w:kern w:val="0"/>
                <w:sz w:val="21"/>
                <w:szCs w:val="21"/>
                <w:lang w:val="en-US" w:eastAsia="zh-CN" w:bidi="ar-SA"/>
              </w:rPr>
              <w:t>（</w:t>
            </w:r>
            <w:r>
              <w:rPr>
                <w:rFonts w:hint="eastAsia" w:ascii="Times New Roman" w:hAnsi="Times New Roman" w:cs="Times New Roman"/>
                <w:b/>
                <w:bCs/>
                <w:color w:val="000000"/>
                <w:kern w:val="0"/>
                <w:sz w:val="21"/>
                <w:szCs w:val="21"/>
                <w:lang w:val="en-US" w:eastAsia="zh-CN" w:bidi="ar-SA"/>
              </w:rPr>
              <w:t>2</w:t>
            </w:r>
            <w:r>
              <w:rPr>
                <w:rFonts w:hint="default" w:ascii="Times New Roman" w:hAnsi="Times New Roman" w:cs="Times New Roman"/>
                <w:b/>
                <w:bCs/>
                <w:color w:val="000000"/>
                <w:kern w:val="0"/>
                <w:sz w:val="21"/>
                <w:szCs w:val="21"/>
                <w:lang w:val="en-US" w:eastAsia="zh-CN" w:bidi="ar-SA"/>
              </w:rPr>
              <w:t>）</w:t>
            </w:r>
            <w:r>
              <w:rPr>
                <w:rFonts w:hint="eastAsia" w:ascii="Times New Roman" w:hAnsi="Times New Roman" w:cs="Times New Roman"/>
                <w:b/>
                <w:bCs/>
                <w:color w:val="000000"/>
                <w:kern w:val="0"/>
                <w:sz w:val="21"/>
                <w:szCs w:val="21"/>
                <w:lang w:val="en-US" w:eastAsia="zh-CN" w:bidi="ar-SA"/>
              </w:rPr>
              <w:t>废水排放情况</w:t>
            </w:r>
          </w:p>
          <w:p w14:paraId="75D98A8E">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w:t>
            </w:r>
            <w:r>
              <w:rPr>
                <w:rFonts w:hint="default" w:ascii="Times New Roman" w:hAnsi="Times New Roman" w:eastAsia="宋体" w:cs="Times New Roman"/>
                <w:b/>
                <w:bCs/>
                <w:color w:val="000000"/>
                <w:sz w:val="21"/>
                <w:szCs w:val="21"/>
                <w:lang w:val="en-US" w:eastAsia="zh-CN"/>
              </w:rPr>
              <w:t>4-</w:t>
            </w:r>
            <w:r>
              <w:rPr>
                <w:rFonts w:hint="eastAsia" w:cs="Times New Roman"/>
                <w:b/>
                <w:bCs/>
                <w:color w:val="000000"/>
                <w:sz w:val="21"/>
                <w:szCs w:val="21"/>
                <w:lang w:val="en-US" w:eastAsia="zh-CN"/>
              </w:rPr>
              <w:t>2</w:t>
            </w:r>
            <w:r>
              <w:rPr>
                <w:rFonts w:hint="default"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废水污染物排放信息表</w:t>
            </w:r>
          </w:p>
          <w:tbl>
            <w:tblPr>
              <w:tblStyle w:val="20"/>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119"/>
              <w:gridCol w:w="1263"/>
              <w:gridCol w:w="1654"/>
              <w:gridCol w:w="1812"/>
              <w:gridCol w:w="1736"/>
            </w:tblGrid>
            <w:tr w14:paraId="551624E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416" w:type="pct"/>
                  <w:tcBorders>
                    <w:tl2br w:val="nil"/>
                    <w:tr2bl w:val="nil"/>
                  </w:tcBorders>
                  <w:noWrap w:val="0"/>
                  <w:vAlign w:val="center"/>
                </w:tcPr>
                <w:p w14:paraId="281F477A">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rPr>
                  </w:pPr>
                  <w:r>
                    <w:rPr>
                      <w:rFonts w:hint="default" w:ascii="Times New Roman" w:hAnsi="Times New Roman" w:cs="Times New Roman"/>
                      <w:b/>
                      <w:bCs/>
                      <w:color w:val="000000"/>
                    </w:rPr>
                    <w:t>序号</w:t>
                  </w:r>
                </w:p>
              </w:tc>
              <w:tc>
                <w:tcPr>
                  <w:tcW w:w="676" w:type="pct"/>
                  <w:tcBorders>
                    <w:tl2br w:val="nil"/>
                    <w:tr2bl w:val="nil"/>
                  </w:tcBorders>
                  <w:noWrap w:val="0"/>
                  <w:vAlign w:val="center"/>
                </w:tcPr>
                <w:p w14:paraId="417B003D">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rPr>
                  </w:pPr>
                  <w:r>
                    <w:rPr>
                      <w:rFonts w:hint="default" w:ascii="Times New Roman" w:hAnsi="Times New Roman" w:cs="Times New Roman"/>
                      <w:b/>
                      <w:bCs/>
                      <w:color w:val="000000"/>
                    </w:rPr>
                    <w:t>排放口编号</w:t>
                  </w:r>
                </w:p>
              </w:tc>
              <w:tc>
                <w:tcPr>
                  <w:tcW w:w="763" w:type="pct"/>
                  <w:tcBorders>
                    <w:tl2br w:val="nil"/>
                    <w:tr2bl w:val="nil"/>
                  </w:tcBorders>
                  <w:noWrap w:val="0"/>
                  <w:vAlign w:val="center"/>
                </w:tcPr>
                <w:p w14:paraId="1FEA28B5">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rPr>
                  </w:pPr>
                  <w:r>
                    <w:rPr>
                      <w:rFonts w:hint="default" w:ascii="Times New Roman" w:hAnsi="Times New Roman" w:cs="Times New Roman"/>
                      <w:b/>
                      <w:bCs/>
                      <w:color w:val="000000"/>
                    </w:rPr>
                    <w:t>污染物种类</w:t>
                  </w:r>
                </w:p>
              </w:tc>
              <w:tc>
                <w:tcPr>
                  <w:tcW w:w="999" w:type="pct"/>
                  <w:tcBorders>
                    <w:tl2br w:val="nil"/>
                    <w:tr2bl w:val="nil"/>
                  </w:tcBorders>
                  <w:noWrap w:val="0"/>
                  <w:vAlign w:val="center"/>
                </w:tcPr>
                <w:p w14:paraId="41BB8790">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rPr>
                  </w:pPr>
                  <w:r>
                    <w:rPr>
                      <w:rFonts w:hint="default" w:ascii="Times New Roman" w:hAnsi="Times New Roman" w:cs="Times New Roman"/>
                      <w:b/>
                      <w:bCs/>
                      <w:color w:val="000000"/>
                    </w:rPr>
                    <w:t>排放浓度（mg/L）</w:t>
                  </w:r>
                </w:p>
              </w:tc>
              <w:tc>
                <w:tcPr>
                  <w:tcW w:w="1095" w:type="pct"/>
                  <w:tcBorders>
                    <w:tl2br w:val="nil"/>
                    <w:tr2bl w:val="nil"/>
                  </w:tcBorders>
                  <w:noWrap w:val="0"/>
                  <w:vAlign w:val="center"/>
                </w:tcPr>
                <w:p w14:paraId="2889A85A">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lang w:eastAsia="zh-CN"/>
                    </w:rPr>
                  </w:pPr>
                  <w:r>
                    <w:rPr>
                      <w:rFonts w:hint="default" w:ascii="Times New Roman" w:hAnsi="Times New Roman" w:cs="Times New Roman"/>
                      <w:b/>
                      <w:bCs/>
                      <w:color w:val="000000"/>
                      <w:lang w:eastAsia="zh-CN"/>
                    </w:rPr>
                    <w:t>日排放量</w:t>
                  </w:r>
                  <w:r>
                    <w:rPr>
                      <w:rFonts w:hint="default" w:ascii="Times New Roman" w:hAnsi="Times New Roman" w:cs="Times New Roman"/>
                      <w:b/>
                      <w:bCs/>
                      <w:color w:val="000000"/>
                    </w:rPr>
                    <w:t>（t/</w:t>
                  </w:r>
                  <w:r>
                    <w:rPr>
                      <w:rFonts w:hint="default" w:ascii="Times New Roman" w:hAnsi="Times New Roman" w:cs="Times New Roman"/>
                      <w:b/>
                      <w:bCs/>
                      <w:color w:val="000000"/>
                      <w:lang w:val="en-US" w:eastAsia="zh-CN"/>
                    </w:rPr>
                    <w:t>d</w:t>
                  </w:r>
                  <w:r>
                    <w:rPr>
                      <w:rFonts w:hint="default" w:ascii="Times New Roman" w:hAnsi="Times New Roman" w:cs="Times New Roman"/>
                      <w:b/>
                      <w:bCs/>
                      <w:color w:val="000000"/>
                    </w:rPr>
                    <w:t>）</w:t>
                  </w:r>
                </w:p>
              </w:tc>
              <w:tc>
                <w:tcPr>
                  <w:tcW w:w="1049" w:type="pct"/>
                  <w:tcBorders>
                    <w:tl2br w:val="nil"/>
                    <w:tr2bl w:val="nil"/>
                  </w:tcBorders>
                  <w:noWrap w:val="0"/>
                  <w:vAlign w:val="center"/>
                </w:tcPr>
                <w:p w14:paraId="026DC9A0">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rPr>
                  </w:pPr>
                  <w:r>
                    <w:rPr>
                      <w:rFonts w:hint="default" w:ascii="Times New Roman" w:hAnsi="Times New Roman" w:cs="Times New Roman"/>
                      <w:b/>
                      <w:bCs/>
                      <w:color w:val="000000"/>
                      <w:lang w:eastAsia="zh-CN"/>
                    </w:rPr>
                    <w:t>全厂</w:t>
                  </w:r>
                  <w:r>
                    <w:rPr>
                      <w:rFonts w:hint="default" w:ascii="Times New Roman" w:hAnsi="Times New Roman" w:cs="Times New Roman"/>
                      <w:b/>
                      <w:bCs/>
                      <w:color w:val="000000"/>
                    </w:rPr>
                    <w:t>年排放量（t/a）</w:t>
                  </w:r>
                </w:p>
              </w:tc>
            </w:tr>
            <w:tr w14:paraId="554F85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6" w:type="pct"/>
                  <w:vMerge w:val="restart"/>
                  <w:tcBorders>
                    <w:tl2br w:val="nil"/>
                    <w:tr2bl w:val="nil"/>
                  </w:tcBorders>
                  <w:noWrap w:val="0"/>
                  <w:vAlign w:val="center"/>
                </w:tcPr>
                <w:p w14:paraId="44C93325">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rPr>
                  </w:pPr>
                  <w:r>
                    <w:rPr>
                      <w:rFonts w:hint="default" w:ascii="Times New Roman" w:hAnsi="Times New Roman" w:cs="Times New Roman"/>
                      <w:color w:val="000000"/>
                    </w:rPr>
                    <w:t>1</w:t>
                  </w:r>
                </w:p>
              </w:tc>
              <w:tc>
                <w:tcPr>
                  <w:tcW w:w="676" w:type="pct"/>
                  <w:vMerge w:val="restart"/>
                  <w:tcBorders>
                    <w:tl2br w:val="nil"/>
                    <w:tr2bl w:val="nil"/>
                  </w:tcBorders>
                  <w:noWrap w:val="0"/>
                  <w:vAlign w:val="center"/>
                </w:tcPr>
                <w:p w14:paraId="208E6AFD">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DW</w:t>
                  </w:r>
                  <w:r>
                    <w:rPr>
                      <w:rFonts w:hint="default" w:ascii="Times New Roman" w:hAnsi="Times New Roman" w:cs="Times New Roman"/>
                      <w:color w:val="000000"/>
                      <w:sz w:val="21"/>
                      <w:szCs w:val="21"/>
                    </w:rPr>
                    <w:t>0</w:t>
                  </w:r>
                  <w:r>
                    <w:rPr>
                      <w:rFonts w:hint="default" w:ascii="Times New Roman" w:hAnsi="Times New Roman" w:cs="Times New Roman"/>
                      <w:color w:val="000000"/>
                      <w:sz w:val="21"/>
                      <w:szCs w:val="21"/>
                      <w:lang w:val="en-US" w:eastAsia="zh-CN"/>
                    </w:rPr>
                    <w:t>0</w:t>
                  </w:r>
                  <w:r>
                    <w:rPr>
                      <w:rFonts w:hint="default" w:ascii="Times New Roman" w:hAnsi="Times New Roman" w:cs="Times New Roman"/>
                      <w:color w:val="000000"/>
                      <w:sz w:val="21"/>
                      <w:szCs w:val="21"/>
                    </w:rPr>
                    <w:t>1</w:t>
                  </w:r>
                </w:p>
              </w:tc>
              <w:tc>
                <w:tcPr>
                  <w:tcW w:w="763" w:type="pct"/>
                  <w:tcBorders>
                    <w:tl2br w:val="nil"/>
                    <w:tr2bl w:val="nil"/>
                  </w:tcBorders>
                  <w:noWrap w:val="0"/>
                  <w:vAlign w:val="center"/>
                </w:tcPr>
                <w:p w14:paraId="24319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COD</w:t>
                  </w:r>
                </w:p>
              </w:tc>
              <w:tc>
                <w:tcPr>
                  <w:tcW w:w="999" w:type="pct"/>
                  <w:tcBorders>
                    <w:tl2br w:val="nil"/>
                    <w:tr2bl w:val="nil"/>
                  </w:tcBorders>
                  <w:noWrap w:val="0"/>
                  <w:vAlign w:val="center"/>
                </w:tcPr>
                <w:p w14:paraId="3163F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eastAsia" w:cs="Times New Roman"/>
                      <w:i w:val="0"/>
                      <w:color w:val="000000"/>
                      <w:kern w:val="0"/>
                      <w:sz w:val="21"/>
                      <w:szCs w:val="21"/>
                      <w:u w:val="none"/>
                      <w:lang w:val="en-US" w:eastAsia="zh-CN" w:bidi="ar"/>
                    </w:rPr>
                    <w:t>5</w:t>
                  </w:r>
                  <w:r>
                    <w:rPr>
                      <w:rFonts w:hint="default" w:ascii="Times New Roman" w:hAnsi="Times New Roman" w:eastAsia="宋体" w:cs="Times New Roman"/>
                      <w:i w:val="0"/>
                      <w:color w:val="000000"/>
                      <w:kern w:val="0"/>
                      <w:sz w:val="21"/>
                      <w:szCs w:val="21"/>
                      <w:u w:val="none"/>
                      <w:lang w:val="en-US" w:eastAsia="zh-CN" w:bidi="ar"/>
                    </w:rPr>
                    <w:t>0</w:t>
                  </w:r>
                </w:p>
              </w:tc>
              <w:tc>
                <w:tcPr>
                  <w:tcW w:w="1095" w:type="pct"/>
                  <w:tcBorders>
                    <w:tl2br w:val="nil"/>
                    <w:tr2bl w:val="nil"/>
                  </w:tcBorders>
                  <w:noWrap w:val="0"/>
                  <w:vAlign w:val="center"/>
                </w:tcPr>
                <w:p w14:paraId="059A31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p>
              </w:tc>
              <w:tc>
                <w:tcPr>
                  <w:tcW w:w="1049" w:type="pct"/>
                  <w:tcBorders>
                    <w:tl2br w:val="nil"/>
                    <w:tr2bl w:val="nil"/>
                  </w:tcBorders>
                  <w:noWrap w:val="0"/>
                  <w:vAlign w:val="center"/>
                </w:tcPr>
                <w:p w14:paraId="475D62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p>
              </w:tc>
            </w:tr>
            <w:tr w14:paraId="3580C8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6" w:type="pct"/>
                  <w:vMerge w:val="continue"/>
                  <w:tcBorders>
                    <w:tl2br w:val="nil"/>
                    <w:tr2bl w:val="nil"/>
                  </w:tcBorders>
                  <w:noWrap w:val="0"/>
                  <w:vAlign w:val="center"/>
                </w:tcPr>
                <w:p w14:paraId="4A05D39E">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rPr>
                  </w:pPr>
                </w:p>
              </w:tc>
              <w:tc>
                <w:tcPr>
                  <w:tcW w:w="676" w:type="pct"/>
                  <w:vMerge w:val="continue"/>
                  <w:tcBorders>
                    <w:tl2br w:val="nil"/>
                    <w:tr2bl w:val="nil"/>
                  </w:tcBorders>
                  <w:noWrap w:val="0"/>
                  <w:vAlign w:val="center"/>
                </w:tcPr>
                <w:p w14:paraId="434DF3B1">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p>
              </w:tc>
              <w:tc>
                <w:tcPr>
                  <w:tcW w:w="763" w:type="pct"/>
                  <w:tcBorders>
                    <w:tl2br w:val="nil"/>
                    <w:tr2bl w:val="nil"/>
                  </w:tcBorders>
                  <w:noWrap w:val="0"/>
                  <w:vAlign w:val="center"/>
                </w:tcPr>
                <w:p w14:paraId="77815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BOD</w:t>
                  </w:r>
                  <w:r>
                    <w:rPr>
                      <w:rFonts w:hint="default" w:ascii="Times New Roman" w:hAnsi="Times New Roman" w:eastAsia="宋体" w:cs="Times New Roman"/>
                      <w:i w:val="0"/>
                      <w:color w:val="000000"/>
                      <w:kern w:val="0"/>
                      <w:sz w:val="21"/>
                      <w:szCs w:val="21"/>
                      <w:u w:val="none"/>
                      <w:vertAlign w:val="subscript"/>
                      <w:lang w:val="en-US" w:eastAsia="zh-CN" w:bidi="ar"/>
                    </w:rPr>
                    <w:t>5</w:t>
                  </w:r>
                </w:p>
              </w:tc>
              <w:tc>
                <w:tcPr>
                  <w:tcW w:w="999" w:type="pct"/>
                  <w:tcBorders>
                    <w:tl2br w:val="nil"/>
                    <w:tr2bl w:val="nil"/>
                  </w:tcBorders>
                  <w:noWrap w:val="0"/>
                  <w:vAlign w:val="center"/>
                </w:tcPr>
                <w:p w14:paraId="0371A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rPr>
                  </w:pPr>
                  <w:r>
                    <w:rPr>
                      <w:rFonts w:hint="eastAsia" w:cs="Times New Roman"/>
                      <w:i w:val="0"/>
                      <w:color w:val="000000"/>
                      <w:kern w:val="0"/>
                      <w:sz w:val="21"/>
                      <w:szCs w:val="21"/>
                      <w:u w:val="none"/>
                      <w:lang w:val="en-US" w:eastAsia="zh-CN" w:bidi="ar"/>
                    </w:rPr>
                    <w:t>10</w:t>
                  </w:r>
                </w:p>
              </w:tc>
              <w:tc>
                <w:tcPr>
                  <w:tcW w:w="1095" w:type="pct"/>
                  <w:tcBorders>
                    <w:tl2br w:val="nil"/>
                    <w:tr2bl w:val="nil"/>
                  </w:tcBorders>
                  <w:noWrap w:val="0"/>
                  <w:vAlign w:val="center"/>
                </w:tcPr>
                <w:p w14:paraId="26FB1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p>
              </w:tc>
              <w:tc>
                <w:tcPr>
                  <w:tcW w:w="1049" w:type="pct"/>
                  <w:tcBorders>
                    <w:tl2br w:val="nil"/>
                    <w:tr2bl w:val="nil"/>
                  </w:tcBorders>
                  <w:noWrap w:val="0"/>
                  <w:vAlign w:val="center"/>
                </w:tcPr>
                <w:p w14:paraId="6AE6F0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p>
              </w:tc>
            </w:tr>
            <w:tr w14:paraId="0FB671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6" w:type="pct"/>
                  <w:vMerge w:val="continue"/>
                  <w:tcBorders>
                    <w:tl2br w:val="nil"/>
                    <w:tr2bl w:val="nil"/>
                  </w:tcBorders>
                  <w:noWrap w:val="0"/>
                  <w:vAlign w:val="center"/>
                </w:tcPr>
                <w:p w14:paraId="2DD86718">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rPr>
                  </w:pPr>
                </w:p>
              </w:tc>
              <w:tc>
                <w:tcPr>
                  <w:tcW w:w="676" w:type="pct"/>
                  <w:vMerge w:val="continue"/>
                  <w:tcBorders>
                    <w:tl2br w:val="nil"/>
                    <w:tr2bl w:val="nil"/>
                  </w:tcBorders>
                  <w:noWrap w:val="0"/>
                  <w:vAlign w:val="center"/>
                </w:tcPr>
                <w:p w14:paraId="39709EFC">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c>
                <w:tcPr>
                  <w:tcW w:w="763" w:type="pct"/>
                  <w:tcBorders>
                    <w:tl2br w:val="nil"/>
                    <w:tr2bl w:val="nil"/>
                  </w:tcBorders>
                  <w:noWrap w:val="0"/>
                  <w:vAlign w:val="center"/>
                </w:tcPr>
                <w:p w14:paraId="74293E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SS</w:t>
                  </w:r>
                </w:p>
              </w:tc>
              <w:tc>
                <w:tcPr>
                  <w:tcW w:w="999" w:type="pct"/>
                  <w:tcBorders>
                    <w:tl2br w:val="nil"/>
                    <w:tr2bl w:val="nil"/>
                  </w:tcBorders>
                  <w:noWrap w:val="0"/>
                  <w:vAlign w:val="center"/>
                </w:tcPr>
                <w:p w14:paraId="6BFFCB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1095" w:type="pct"/>
                  <w:tcBorders>
                    <w:tl2br w:val="nil"/>
                    <w:tr2bl w:val="nil"/>
                  </w:tcBorders>
                  <w:noWrap w:val="0"/>
                  <w:vAlign w:val="center"/>
                </w:tcPr>
                <w:p w14:paraId="47E99D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p>
              </w:tc>
              <w:tc>
                <w:tcPr>
                  <w:tcW w:w="1049" w:type="pct"/>
                  <w:tcBorders>
                    <w:tl2br w:val="nil"/>
                    <w:tr2bl w:val="nil"/>
                  </w:tcBorders>
                  <w:noWrap w:val="0"/>
                  <w:vAlign w:val="center"/>
                </w:tcPr>
                <w:p w14:paraId="62D4B8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p>
              </w:tc>
            </w:tr>
            <w:tr w14:paraId="5D9CE78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6" w:type="pct"/>
                  <w:vMerge w:val="continue"/>
                  <w:tcBorders>
                    <w:tl2br w:val="nil"/>
                    <w:tr2bl w:val="nil"/>
                  </w:tcBorders>
                  <w:noWrap w:val="0"/>
                  <w:vAlign w:val="center"/>
                </w:tcPr>
                <w:p w14:paraId="65FEA6FA">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rPr>
                  </w:pPr>
                </w:p>
              </w:tc>
              <w:tc>
                <w:tcPr>
                  <w:tcW w:w="676" w:type="pct"/>
                  <w:vMerge w:val="continue"/>
                  <w:tcBorders>
                    <w:tl2br w:val="nil"/>
                    <w:tr2bl w:val="nil"/>
                  </w:tcBorders>
                  <w:noWrap w:val="0"/>
                  <w:vAlign w:val="center"/>
                </w:tcPr>
                <w:p w14:paraId="032CB526">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c>
                <w:tcPr>
                  <w:tcW w:w="763" w:type="pct"/>
                  <w:tcBorders>
                    <w:tl2br w:val="nil"/>
                    <w:tr2bl w:val="nil"/>
                  </w:tcBorders>
                  <w:noWrap w:val="0"/>
                  <w:vAlign w:val="center"/>
                </w:tcPr>
                <w:p w14:paraId="0102A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lang w:val="en-US" w:eastAsia="zh-CN"/>
                    </w:rPr>
                    <w:t>NH</w:t>
                  </w:r>
                  <w:r>
                    <w:rPr>
                      <w:rFonts w:hint="default" w:ascii="Times New Roman" w:hAnsi="Times New Roman" w:cs="Times New Roman"/>
                      <w:b w:val="0"/>
                      <w:bCs w:val="0"/>
                      <w:color w:val="000000"/>
                      <w:sz w:val="21"/>
                      <w:szCs w:val="21"/>
                      <w:vertAlign w:val="subscript"/>
                      <w:lang w:val="en-US" w:eastAsia="zh-CN"/>
                    </w:rPr>
                    <w:t>3</w:t>
                  </w:r>
                  <w:r>
                    <w:rPr>
                      <w:rFonts w:hint="default" w:ascii="Times New Roman" w:hAnsi="Times New Roman" w:cs="Times New Roman"/>
                      <w:b w:val="0"/>
                      <w:bCs w:val="0"/>
                      <w:color w:val="000000"/>
                      <w:sz w:val="21"/>
                      <w:szCs w:val="21"/>
                      <w:lang w:val="en-US" w:eastAsia="zh-CN"/>
                    </w:rPr>
                    <w:t>-N</w:t>
                  </w:r>
                </w:p>
              </w:tc>
              <w:tc>
                <w:tcPr>
                  <w:tcW w:w="999" w:type="pct"/>
                  <w:tcBorders>
                    <w:tl2br w:val="nil"/>
                    <w:tr2bl w:val="nil"/>
                  </w:tcBorders>
                  <w:noWrap w:val="0"/>
                  <w:vAlign w:val="center"/>
                </w:tcPr>
                <w:p w14:paraId="5F4C5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eastAsia" w:cs="Times New Roman"/>
                      <w:i w:val="0"/>
                      <w:color w:val="000000"/>
                      <w:kern w:val="0"/>
                      <w:sz w:val="21"/>
                      <w:szCs w:val="21"/>
                      <w:u w:val="none"/>
                      <w:lang w:val="en-US" w:eastAsia="zh-CN" w:bidi="ar"/>
                    </w:rPr>
                    <w:t>5</w:t>
                  </w:r>
                </w:p>
              </w:tc>
              <w:tc>
                <w:tcPr>
                  <w:tcW w:w="1095" w:type="pct"/>
                  <w:tcBorders>
                    <w:tl2br w:val="nil"/>
                    <w:tr2bl w:val="nil"/>
                  </w:tcBorders>
                  <w:noWrap w:val="0"/>
                  <w:vAlign w:val="center"/>
                </w:tcPr>
                <w:p w14:paraId="722854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p>
              </w:tc>
              <w:tc>
                <w:tcPr>
                  <w:tcW w:w="1049" w:type="pct"/>
                  <w:tcBorders>
                    <w:tl2br w:val="nil"/>
                    <w:tr2bl w:val="nil"/>
                  </w:tcBorders>
                  <w:noWrap w:val="0"/>
                  <w:vAlign w:val="center"/>
                </w:tcPr>
                <w:p w14:paraId="46FA12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p>
              </w:tc>
            </w:tr>
            <w:tr w14:paraId="648F1C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6" w:type="pct"/>
                  <w:vMerge w:val="continue"/>
                  <w:tcBorders>
                    <w:tl2br w:val="nil"/>
                    <w:tr2bl w:val="nil"/>
                  </w:tcBorders>
                  <w:noWrap w:val="0"/>
                  <w:vAlign w:val="center"/>
                </w:tcPr>
                <w:p w14:paraId="7C3A2233">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rPr>
                  </w:pPr>
                </w:p>
              </w:tc>
              <w:tc>
                <w:tcPr>
                  <w:tcW w:w="676" w:type="pct"/>
                  <w:vMerge w:val="continue"/>
                  <w:tcBorders>
                    <w:tl2br w:val="nil"/>
                    <w:tr2bl w:val="nil"/>
                  </w:tcBorders>
                  <w:noWrap w:val="0"/>
                  <w:vAlign w:val="center"/>
                </w:tcPr>
                <w:p w14:paraId="66AC5FAA">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c>
                <w:tcPr>
                  <w:tcW w:w="763" w:type="pct"/>
                  <w:tcBorders>
                    <w:tl2br w:val="nil"/>
                    <w:tr2bl w:val="nil"/>
                  </w:tcBorders>
                  <w:noWrap w:val="0"/>
                  <w:vAlign w:val="center"/>
                </w:tcPr>
                <w:p w14:paraId="06BEE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000000"/>
                      <w:sz w:val="21"/>
                      <w:szCs w:val="21"/>
                      <w:lang w:val="en-US" w:eastAsia="zh-CN"/>
                    </w:rPr>
                  </w:pPr>
                  <w:r>
                    <w:rPr>
                      <w:rFonts w:hint="eastAsia" w:cs="Times New Roman"/>
                      <w:b w:val="0"/>
                      <w:bCs w:val="0"/>
                      <w:color w:val="000000"/>
                      <w:sz w:val="21"/>
                      <w:szCs w:val="21"/>
                      <w:lang w:val="en-US" w:eastAsia="zh-CN"/>
                    </w:rPr>
                    <w:t>TN</w:t>
                  </w:r>
                </w:p>
              </w:tc>
              <w:tc>
                <w:tcPr>
                  <w:tcW w:w="999" w:type="pct"/>
                  <w:tcBorders>
                    <w:tl2br w:val="nil"/>
                    <w:tr2bl w:val="nil"/>
                  </w:tcBorders>
                  <w:noWrap w:val="0"/>
                  <w:vAlign w:val="center"/>
                </w:tcPr>
                <w:p w14:paraId="2A325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15</w:t>
                  </w:r>
                </w:p>
              </w:tc>
              <w:tc>
                <w:tcPr>
                  <w:tcW w:w="1095" w:type="pct"/>
                  <w:tcBorders>
                    <w:tl2br w:val="nil"/>
                    <w:tr2bl w:val="nil"/>
                  </w:tcBorders>
                  <w:noWrap w:val="0"/>
                  <w:vAlign w:val="center"/>
                </w:tcPr>
                <w:p w14:paraId="375288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000000"/>
                      <w:sz w:val="21"/>
                      <w:szCs w:val="21"/>
                      <w:lang w:val="en-US" w:eastAsia="zh-CN"/>
                    </w:rPr>
                  </w:pPr>
                </w:p>
              </w:tc>
              <w:tc>
                <w:tcPr>
                  <w:tcW w:w="1049" w:type="pct"/>
                  <w:tcBorders>
                    <w:tl2br w:val="nil"/>
                    <w:tr2bl w:val="nil"/>
                  </w:tcBorders>
                  <w:noWrap w:val="0"/>
                  <w:vAlign w:val="center"/>
                </w:tcPr>
                <w:p w14:paraId="7ABFF3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000000"/>
                      <w:sz w:val="21"/>
                      <w:szCs w:val="21"/>
                      <w:lang w:val="en-US" w:eastAsia="zh-CN"/>
                    </w:rPr>
                  </w:pPr>
                </w:p>
              </w:tc>
            </w:tr>
            <w:tr w14:paraId="4C8CAC9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92" w:type="pct"/>
                  <w:gridSpan w:val="2"/>
                  <w:vMerge w:val="restart"/>
                  <w:tcBorders>
                    <w:tl2br w:val="nil"/>
                    <w:tr2bl w:val="nil"/>
                  </w:tcBorders>
                  <w:noWrap w:val="0"/>
                  <w:vAlign w:val="center"/>
                </w:tcPr>
                <w:p w14:paraId="1BB6E5C0">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全厂排放口合计</w:t>
                  </w:r>
                </w:p>
              </w:tc>
              <w:tc>
                <w:tcPr>
                  <w:tcW w:w="2858" w:type="pct"/>
                  <w:gridSpan w:val="3"/>
                  <w:tcBorders>
                    <w:tl2br w:val="nil"/>
                    <w:tr2bl w:val="nil"/>
                  </w:tcBorders>
                  <w:noWrap w:val="0"/>
                  <w:vAlign w:val="center"/>
                </w:tcPr>
                <w:p w14:paraId="37E0C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COD</w:t>
                  </w:r>
                </w:p>
              </w:tc>
              <w:tc>
                <w:tcPr>
                  <w:tcW w:w="1049" w:type="pct"/>
                  <w:tcBorders>
                    <w:tl2br w:val="nil"/>
                    <w:tr2bl w:val="nil"/>
                  </w:tcBorders>
                  <w:noWrap w:val="0"/>
                  <w:vAlign w:val="center"/>
                </w:tcPr>
                <w:p w14:paraId="2B6565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p>
              </w:tc>
            </w:tr>
            <w:tr w14:paraId="406C10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92" w:type="pct"/>
                  <w:gridSpan w:val="2"/>
                  <w:vMerge w:val="continue"/>
                  <w:tcBorders>
                    <w:tl2br w:val="nil"/>
                    <w:tr2bl w:val="nil"/>
                  </w:tcBorders>
                  <w:noWrap w:val="0"/>
                  <w:vAlign w:val="center"/>
                </w:tcPr>
                <w:p w14:paraId="7D218A99">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c>
                <w:tcPr>
                  <w:tcW w:w="2858" w:type="pct"/>
                  <w:gridSpan w:val="3"/>
                  <w:tcBorders>
                    <w:tl2br w:val="nil"/>
                    <w:tr2bl w:val="nil"/>
                  </w:tcBorders>
                  <w:noWrap w:val="0"/>
                  <w:vAlign w:val="center"/>
                </w:tcPr>
                <w:p w14:paraId="54025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BOD</w:t>
                  </w:r>
                  <w:r>
                    <w:rPr>
                      <w:rFonts w:hint="default" w:ascii="Times New Roman" w:hAnsi="Times New Roman" w:eastAsia="宋体" w:cs="Times New Roman"/>
                      <w:i w:val="0"/>
                      <w:color w:val="000000"/>
                      <w:kern w:val="0"/>
                      <w:sz w:val="21"/>
                      <w:szCs w:val="21"/>
                      <w:u w:val="none"/>
                      <w:vertAlign w:val="subscript"/>
                      <w:lang w:val="en-US" w:eastAsia="zh-CN" w:bidi="ar"/>
                    </w:rPr>
                    <w:t>5</w:t>
                  </w:r>
                </w:p>
              </w:tc>
              <w:tc>
                <w:tcPr>
                  <w:tcW w:w="1049" w:type="pct"/>
                  <w:tcBorders>
                    <w:tl2br w:val="nil"/>
                    <w:tr2bl w:val="nil"/>
                  </w:tcBorders>
                  <w:noWrap w:val="0"/>
                  <w:vAlign w:val="center"/>
                </w:tcPr>
                <w:p w14:paraId="23479F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p>
              </w:tc>
            </w:tr>
            <w:tr w14:paraId="2A92719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92" w:type="pct"/>
                  <w:gridSpan w:val="2"/>
                  <w:vMerge w:val="continue"/>
                  <w:tcBorders>
                    <w:tl2br w:val="nil"/>
                    <w:tr2bl w:val="nil"/>
                  </w:tcBorders>
                  <w:noWrap w:val="0"/>
                  <w:vAlign w:val="center"/>
                </w:tcPr>
                <w:p w14:paraId="2F7104B4">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c>
                <w:tcPr>
                  <w:tcW w:w="2858" w:type="pct"/>
                  <w:gridSpan w:val="3"/>
                  <w:tcBorders>
                    <w:tl2br w:val="nil"/>
                    <w:tr2bl w:val="nil"/>
                  </w:tcBorders>
                  <w:noWrap w:val="0"/>
                  <w:vAlign w:val="center"/>
                </w:tcPr>
                <w:p w14:paraId="4228D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SS</w:t>
                  </w:r>
                </w:p>
              </w:tc>
              <w:tc>
                <w:tcPr>
                  <w:tcW w:w="1049" w:type="pct"/>
                  <w:tcBorders>
                    <w:tl2br w:val="nil"/>
                    <w:tr2bl w:val="nil"/>
                  </w:tcBorders>
                  <w:noWrap w:val="0"/>
                  <w:vAlign w:val="center"/>
                </w:tcPr>
                <w:p w14:paraId="6FE9A1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p>
              </w:tc>
            </w:tr>
            <w:tr w14:paraId="64DFB51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92" w:type="pct"/>
                  <w:gridSpan w:val="2"/>
                  <w:vMerge w:val="continue"/>
                  <w:tcBorders>
                    <w:tl2br w:val="nil"/>
                    <w:tr2bl w:val="nil"/>
                  </w:tcBorders>
                  <w:noWrap w:val="0"/>
                  <w:vAlign w:val="center"/>
                </w:tcPr>
                <w:p w14:paraId="77E157EF">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c>
                <w:tcPr>
                  <w:tcW w:w="2858" w:type="pct"/>
                  <w:gridSpan w:val="3"/>
                  <w:tcBorders>
                    <w:tl2br w:val="nil"/>
                    <w:tr2bl w:val="nil"/>
                  </w:tcBorders>
                  <w:noWrap w:val="0"/>
                  <w:vAlign w:val="center"/>
                </w:tcPr>
                <w:p w14:paraId="1C354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SA"/>
                    </w:rPr>
                  </w:pPr>
                  <w:bookmarkStart w:id="6" w:name="OLE_LINK84"/>
                  <w:r>
                    <w:rPr>
                      <w:rFonts w:hint="default"/>
                      <w:color w:val="000000"/>
                      <w:sz w:val="21"/>
                      <w:szCs w:val="21"/>
                      <w:lang w:val="en-US" w:eastAsia="zh-CN"/>
                    </w:rPr>
                    <w:t>NH</w:t>
                  </w:r>
                  <w:r>
                    <w:rPr>
                      <w:rFonts w:hint="default"/>
                      <w:color w:val="000000"/>
                      <w:sz w:val="21"/>
                      <w:szCs w:val="21"/>
                      <w:vertAlign w:val="subscript"/>
                      <w:lang w:val="en-US" w:eastAsia="zh-CN"/>
                    </w:rPr>
                    <w:t>3</w:t>
                  </w:r>
                  <w:r>
                    <w:rPr>
                      <w:rFonts w:hint="default"/>
                      <w:color w:val="000000"/>
                      <w:sz w:val="21"/>
                      <w:szCs w:val="21"/>
                      <w:lang w:val="en-US" w:eastAsia="zh-CN"/>
                    </w:rPr>
                    <w:t>-N</w:t>
                  </w:r>
                  <w:bookmarkEnd w:id="6"/>
                </w:p>
              </w:tc>
              <w:tc>
                <w:tcPr>
                  <w:tcW w:w="1049" w:type="pct"/>
                  <w:tcBorders>
                    <w:tl2br w:val="nil"/>
                    <w:tr2bl w:val="nil"/>
                  </w:tcBorders>
                  <w:noWrap w:val="0"/>
                  <w:vAlign w:val="center"/>
                </w:tcPr>
                <w:p w14:paraId="66E4C9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p>
              </w:tc>
            </w:tr>
            <w:tr w14:paraId="46747C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92" w:type="pct"/>
                  <w:gridSpan w:val="2"/>
                  <w:vMerge w:val="continue"/>
                  <w:tcBorders>
                    <w:tl2br w:val="nil"/>
                    <w:tr2bl w:val="nil"/>
                  </w:tcBorders>
                  <w:noWrap w:val="0"/>
                  <w:vAlign w:val="center"/>
                </w:tcPr>
                <w:p w14:paraId="6BB56B38">
                  <w:pPr>
                    <w:keepNext w:val="0"/>
                    <w:keepLines/>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c>
                <w:tcPr>
                  <w:tcW w:w="2858" w:type="pct"/>
                  <w:gridSpan w:val="3"/>
                  <w:tcBorders>
                    <w:tl2br w:val="nil"/>
                    <w:tr2bl w:val="nil"/>
                  </w:tcBorders>
                  <w:noWrap w:val="0"/>
                  <w:vAlign w:val="center"/>
                </w:tcPr>
                <w:p w14:paraId="77B44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000000"/>
                      <w:sz w:val="21"/>
                      <w:szCs w:val="21"/>
                      <w:lang w:val="en-US" w:eastAsia="zh-CN"/>
                    </w:rPr>
                  </w:pPr>
                  <w:r>
                    <w:rPr>
                      <w:rFonts w:hint="eastAsia"/>
                      <w:color w:val="000000"/>
                      <w:sz w:val="21"/>
                      <w:szCs w:val="21"/>
                      <w:lang w:val="en-US" w:eastAsia="zh-CN"/>
                    </w:rPr>
                    <w:t>TN</w:t>
                  </w:r>
                </w:p>
              </w:tc>
              <w:tc>
                <w:tcPr>
                  <w:tcW w:w="1049" w:type="pct"/>
                  <w:tcBorders>
                    <w:tl2br w:val="nil"/>
                    <w:tr2bl w:val="nil"/>
                  </w:tcBorders>
                  <w:noWrap w:val="0"/>
                  <w:vAlign w:val="center"/>
                </w:tcPr>
                <w:p w14:paraId="53B6A5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cs="Times New Roman"/>
                      <w:color w:val="000000"/>
                      <w:sz w:val="21"/>
                      <w:szCs w:val="21"/>
                      <w:lang w:val="en-US" w:eastAsia="zh-CN"/>
                    </w:rPr>
                  </w:pPr>
                </w:p>
              </w:tc>
            </w:tr>
          </w:tbl>
          <w:p w14:paraId="530E5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4.1.2废水处理设施情况说明</w:t>
            </w:r>
          </w:p>
          <w:p w14:paraId="172FD981">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rPr>
              <w:t>表</w:t>
            </w:r>
            <w:r>
              <w:rPr>
                <w:rFonts w:hint="default" w:ascii="Times New Roman" w:hAnsi="Times New Roman" w:eastAsia="宋体" w:cs="Times New Roman"/>
                <w:b/>
                <w:bCs/>
                <w:color w:val="000000"/>
                <w:sz w:val="21"/>
                <w:szCs w:val="21"/>
                <w:lang w:val="en-US" w:eastAsia="zh-CN"/>
              </w:rPr>
              <w:t>4</w:t>
            </w:r>
            <w:r>
              <w:rPr>
                <w:rFonts w:hint="eastAsia" w:ascii="Times New Roman" w:hAnsi="Times New Roman" w:eastAsia="宋体" w:cs="Times New Roman"/>
                <w:b/>
                <w:bCs/>
                <w:color w:val="000000"/>
                <w:sz w:val="21"/>
                <w:szCs w:val="21"/>
                <w:lang w:val="en-US" w:eastAsia="zh-CN"/>
              </w:rPr>
              <w:t>-</w:t>
            </w:r>
            <w:r>
              <w:rPr>
                <w:rFonts w:hint="eastAsia" w:cs="Times New Roman"/>
                <w:b/>
                <w:bCs/>
                <w:color w:val="000000"/>
                <w:sz w:val="21"/>
                <w:szCs w:val="21"/>
                <w:lang w:val="en-US" w:eastAsia="zh-CN"/>
              </w:rPr>
              <w:t>3</w:t>
            </w:r>
            <w:r>
              <w:rPr>
                <w:rFonts w:hint="eastAsia"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lang w:val="en-US" w:eastAsia="zh-CN"/>
              </w:rPr>
              <w:t xml:space="preserve"> 项目</w:t>
            </w:r>
            <w:r>
              <w:rPr>
                <w:rFonts w:hint="eastAsia" w:ascii="Times New Roman" w:hAnsi="Times New Roman" w:eastAsia="宋体" w:cs="Times New Roman"/>
                <w:b/>
                <w:bCs/>
                <w:color w:val="000000"/>
                <w:sz w:val="21"/>
                <w:szCs w:val="21"/>
                <w:lang w:val="en-US" w:eastAsia="zh-CN"/>
              </w:rPr>
              <w:t>废水产污节点、污染物及污染治理设施</w:t>
            </w:r>
            <w:r>
              <w:rPr>
                <w:rFonts w:hint="default" w:ascii="Times New Roman" w:hAnsi="Times New Roman" w:eastAsia="宋体" w:cs="Times New Roman"/>
                <w:b/>
                <w:bCs/>
                <w:color w:val="000000"/>
                <w:sz w:val="21"/>
                <w:szCs w:val="21"/>
                <w:lang w:val="en-US" w:eastAsia="zh-CN"/>
              </w:rPr>
              <w:t>一览表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Layout w:type="fixed"/>
              <w:tblCellMar>
                <w:top w:w="15" w:type="dxa"/>
                <w:left w:w="15" w:type="dxa"/>
                <w:bottom w:w="15" w:type="dxa"/>
                <w:right w:w="15" w:type="dxa"/>
              </w:tblCellMar>
            </w:tblPr>
            <w:tblGrid>
              <w:gridCol w:w="718"/>
              <w:gridCol w:w="1162"/>
              <w:gridCol w:w="575"/>
              <w:gridCol w:w="812"/>
              <w:gridCol w:w="1174"/>
              <w:gridCol w:w="755"/>
              <w:gridCol w:w="1466"/>
              <w:gridCol w:w="785"/>
              <w:gridCol w:w="829"/>
            </w:tblGrid>
            <w:tr w14:paraId="399560C1">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340" w:hRule="atLeast"/>
                <w:jc w:val="center"/>
              </w:trPr>
              <w:tc>
                <w:tcPr>
                  <w:tcW w:w="718" w:type="dxa"/>
                  <w:vMerge w:val="restart"/>
                  <w:tcBorders>
                    <w:tl2br w:val="nil"/>
                    <w:tr2bl w:val="nil"/>
                  </w:tcBorders>
                  <w:shd w:val="clear" w:color="auto" w:fill="auto"/>
                  <w:noWrap w:val="0"/>
                  <w:tcMar>
                    <w:top w:w="45" w:type="dxa"/>
                    <w:left w:w="75" w:type="dxa"/>
                    <w:bottom w:w="45" w:type="dxa"/>
                    <w:right w:w="75" w:type="dxa"/>
                  </w:tcMar>
                  <w:vAlign w:val="center"/>
                </w:tcPr>
                <w:p w14:paraId="2DB1F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b/>
                      <w:bCs/>
                      <w:i w:val="0"/>
                      <w:caps w:val="0"/>
                      <w:color w:val="000000"/>
                      <w:spacing w:val="0"/>
                      <w:sz w:val="21"/>
                      <w:szCs w:val="21"/>
                    </w:rPr>
                  </w:pPr>
                  <w:r>
                    <w:rPr>
                      <w:rFonts w:hint="default" w:ascii="Times New Roman" w:hAnsi="Times New Roman" w:eastAsia="宋体" w:cs="Times New Roman"/>
                      <w:b/>
                      <w:bCs/>
                      <w:i w:val="0"/>
                      <w:caps w:val="0"/>
                      <w:color w:val="000000"/>
                      <w:spacing w:val="0"/>
                      <w:kern w:val="0"/>
                      <w:sz w:val="21"/>
                      <w:szCs w:val="21"/>
                      <w:lang w:val="en-US" w:eastAsia="zh-CN" w:bidi="ar"/>
                    </w:rPr>
                    <w:t>对应产污环节名称</w:t>
                  </w:r>
                </w:p>
              </w:tc>
              <w:tc>
                <w:tcPr>
                  <w:tcW w:w="1162" w:type="dxa"/>
                  <w:vMerge w:val="restart"/>
                  <w:tcBorders>
                    <w:tl2br w:val="nil"/>
                    <w:tr2bl w:val="nil"/>
                  </w:tcBorders>
                  <w:shd w:val="clear" w:color="auto" w:fill="auto"/>
                  <w:noWrap w:val="0"/>
                  <w:tcMar>
                    <w:top w:w="45" w:type="dxa"/>
                    <w:left w:w="75" w:type="dxa"/>
                    <w:bottom w:w="45" w:type="dxa"/>
                    <w:right w:w="75" w:type="dxa"/>
                  </w:tcMar>
                  <w:vAlign w:val="center"/>
                </w:tcPr>
                <w:p w14:paraId="58734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b/>
                      <w:bCs/>
                      <w:i w:val="0"/>
                      <w:caps w:val="0"/>
                      <w:color w:val="000000"/>
                      <w:spacing w:val="0"/>
                      <w:sz w:val="21"/>
                      <w:szCs w:val="21"/>
                    </w:rPr>
                  </w:pPr>
                  <w:r>
                    <w:rPr>
                      <w:rFonts w:hint="default" w:ascii="Times New Roman" w:hAnsi="Times New Roman" w:eastAsia="宋体" w:cs="Times New Roman"/>
                      <w:b/>
                      <w:bCs/>
                      <w:i w:val="0"/>
                      <w:caps w:val="0"/>
                      <w:color w:val="000000"/>
                      <w:spacing w:val="0"/>
                      <w:kern w:val="0"/>
                      <w:sz w:val="21"/>
                      <w:szCs w:val="21"/>
                      <w:lang w:val="en-US" w:eastAsia="zh-CN" w:bidi="ar"/>
                    </w:rPr>
                    <w:t>污染物种类</w:t>
                  </w:r>
                </w:p>
              </w:tc>
              <w:tc>
                <w:tcPr>
                  <w:tcW w:w="575" w:type="dxa"/>
                  <w:vMerge w:val="restart"/>
                  <w:tcBorders>
                    <w:tl2br w:val="nil"/>
                    <w:tr2bl w:val="nil"/>
                  </w:tcBorders>
                  <w:shd w:val="clear" w:color="auto" w:fill="auto"/>
                  <w:noWrap w:val="0"/>
                  <w:tcMar>
                    <w:top w:w="45" w:type="dxa"/>
                    <w:left w:w="75" w:type="dxa"/>
                    <w:bottom w:w="45" w:type="dxa"/>
                    <w:right w:w="75" w:type="dxa"/>
                  </w:tcMar>
                  <w:vAlign w:val="center"/>
                </w:tcPr>
                <w:p w14:paraId="733DA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b/>
                      <w:bCs/>
                      <w:i w:val="0"/>
                      <w:caps w:val="0"/>
                      <w:color w:val="000000"/>
                      <w:spacing w:val="0"/>
                      <w:sz w:val="21"/>
                      <w:szCs w:val="21"/>
                    </w:rPr>
                  </w:pPr>
                  <w:r>
                    <w:rPr>
                      <w:rFonts w:hint="default" w:ascii="Times New Roman" w:hAnsi="Times New Roman" w:eastAsia="宋体" w:cs="Times New Roman"/>
                      <w:b/>
                      <w:bCs/>
                      <w:i w:val="0"/>
                      <w:caps w:val="0"/>
                      <w:color w:val="000000"/>
                      <w:spacing w:val="0"/>
                      <w:kern w:val="0"/>
                      <w:sz w:val="21"/>
                      <w:szCs w:val="21"/>
                      <w:lang w:val="en-US" w:eastAsia="zh-CN" w:bidi="ar"/>
                    </w:rPr>
                    <w:t>排放形式</w:t>
                  </w:r>
                </w:p>
              </w:tc>
              <w:tc>
                <w:tcPr>
                  <w:tcW w:w="4992" w:type="dxa"/>
                  <w:gridSpan w:val="5"/>
                  <w:tcBorders>
                    <w:tl2br w:val="nil"/>
                    <w:tr2bl w:val="nil"/>
                  </w:tcBorders>
                  <w:shd w:val="clear" w:color="auto" w:fill="auto"/>
                  <w:noWrap w:val="0"/>
                  <w:tcMar>
                    <w:top w:w="45" w:type="dxa"/>
                    <w:left w:w="75" w:type="dxa"/>
                    <w:bottom w:w="45" w:type="dxa"/>
                    <w:right w:w="75" w:type="dxa"/>
                  </w:tcMar>
                  <w:vAlign w:val="center"/>
                </w:tcPr>
                <w:p w14:paraId="4A863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b/>
                      <w:bCs/>
                      <w:i w:val="0"/>
                      <w:caps w:val="0"/>
                      <w:color w:val="000000"/>
                      <w:spacing w:val="0"/>
                      <w:kern w:val="0"/>
                      <w:sz w:val="21"/>
                      <w:szCs w:val="21"/>
                      <w:lang w:val="en-US" w:eastAsia="zh-CN" w:bidi="ar"/>
                    </w:rPr>
                  </w:pPr>
                  <w:r>
                    <w:rPr>
                      <w:rFonts w:hint="default" w:ascii="Times New Roman" w:hAnsi="Times New Roman" w:eastAsia="宋体" w:cs="Times New Roman"/>
                      <w:b/>
                      <w:bCs/>
                      <w:i w:val="0"/>
                      <w:caps w:val="0"/>
                      <w:color w:val="000000"/>
                      <w:spacing w:val="0"/>
                      <w:kern w:val="0"/>
                      <w:sz w:val="21"/>
                      <w:szCs w:val="21"/>
                      <w:lang w:val="en-US" w:eastAsia="zh-CN" w:bidi="ar"/>
                    </w:rPr>
                    <w:t>污染治理设施</w:t>
                  </w:r>
                </w:p>
              </w:tc>
              <w:tc>
                <w:tcPr>
                  <w:tcW w:w="829" w:type="dxa"/>
                  <w:vMerge w:val="restart"/>
                  <w:tcBorders>
                    <w:tl2br w:val="nil"/>
                    <w:tr2bl w:val="nil"/>
                  </w:tcBorders>
                  <w:shd w:val="clear" w:color="auto" w:fill="auto"/>
                  <w:noWrap w:val="0"/>
                  <w:tcMar>
                    <w:top w:w="45" w:type="dxa"/>
                    <w:left w:w="75" w:type="dxa"/>
                    <w:bottom w:w="45" w:type="dxa"/>
                    <w:right w:w="75" w:type="dxa"/>
                  </w:tcMar>
                  <w:vAlign w:val="center"/>
                </w:tcPr>
                <w:p w14:paraId="37F95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b/>
                      <w:bCs/>
                      <w:i w:val="0"/>
                      <w:caps w:val="0"/>
                      <w:color w:val="000000"/>
                      <w:spacing w:val="0"/>
                      <w:sz w:val="21"/>
                      <w:szCs w:val="21"/>
                    </w:rPr>
                  </w:pPr>
                  <w:r>
                    <w:rPr>
                      <w:rFonts w:hint="default" w:ascii="Times New Roman" w:hAnsi="Times New Roman" w:eastAsia="宋体" w:cs="Times New Roman"/>
                      <w:b/>
                      <w:bCs/>
                      <w:i w:val="0"/>
                      <w:caps w:val="0"/>
                      <w:color w:val="000000"/>
                      <w:spacing w:val="0"/>
                      <w:kern w:val="0"/>
                      <w:sz w:val="21"/>
                      <w:szCs w:val="21"/>
                      <w:lang w:val="en-US" w:eastAsia="zh-CN" w:bidi="ar"/>
                    </w:rPr>
                    <w:t>排放口编号</w:t>
                  </w:r>
                </w:p>
              </w:tc>
            </w:tr>
            <w:tr w14:paraId="6BC112A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40" w:hRule="atLeast"/>
                <w:jc w:val="center"/>
              </w:trPr>
              <w:tc>
                <w:tcPr>
                  <w:tcW w:w="718" w:type="dxa"/>
                  <w:vMerge w:val="continue"/>
                  <w:tcBorders>
                    <w:tl2br w:val="nil"/>
                    <w:tr2bl w:val="nil"/>
                  </w:tcBorders>
                  <w:shd w:val="clear" w:color="auto" w:fill="auto"/>
                  <w:noWrap w:val="0"/>
                  <w:tcMar>
                    <w:top w:w="45" w:type="dxa"/>
                    <w:left w:w="75" w:type="dxa"/>
                    <w:bottom w:w="45" w:type="dxa"/>
                    <w:right w:w="75" w:type="dxa"/>
                  </w:tcMar>
                  <w:vAlign w:val="center"/>
                </w:tcPr>
                <w:p w14:paraId="7508F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b w:val="0"/>
                      <w:i w:val="0"/>
                      <w:caps w:val="0"/>
                      <w:color w:val="000000"/>
                      <w:spacing w:val="0"/>
                      <w:sz w:val="21"/>
                      <w:szCs w:val="21"/>
                    </w:rPr>
                  </w:pPr>
                </w:p>
              </w:tc>
              <w:tc>
                <w:tcPr>
                  <w:tcW w:w="1162" w:type="dxa"/>
                  <w:vMerge w:val="continue"/>
                  <w:tcBorders>
                    <w:tl2br w:val="nil"/>
                    <w:tr2bl w:val="nil"/>
                  </w:tcBorders>
                  <w:shd w:val="clear" w:color="auto" w:fill="auto"/>
                  <w:noWrap w:val="0"/>
                  <w:tcMar>
                    <w:top w:w="45" w:type="dxa"/>
                    <w:left w:w="75" w:type="dxa"/>
                    <w:bottom w:w="45" w:type="dxa"/>
                    <w:right w:w="75" w:type="dxa"/>
                  </w:tcMar>
                  <w:vAlign w:val="center"/>
                </w:tcPr>
                <w:p w14:paraId="5E4B3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b w:val="0"/>
                      <w:i w:val="0"/>
                      <w:caps w:val="0"/>
                      <w:color w:val="000000"/>
                      <w:spacing w:val="0"/>
                      <w:sz w:val="21"/>
                      <w:szCs w:val="21"/>
                    </w:rPr>
                  </w:pPr>
                </w:p>
              </w:tc>
              <w:tc>
                <w:tcPr>
                  <w:tcW w:w="575" w:type="dxa"/>
                  <w:vMerge w:val="continue"/>
                  <w:tcBorders>
                    <w:tl2br w:val="nil"/>
                    <w:tr2bl w:val="nil"/>
                  </w:tcBorders>
                  <w:shd w:val="clear" w:color="auto" w:fill="auto"/>
                  <w:noWrap w:val="0"/>
                  <w:tcMar>
                    <w:top w:w="45" w:type="dxa"/>
                    <w:left w:w="75" w:type="dxa"/>
                    <w:bottom w:w="45" w:type="dxa"/>
                    <w:right w:w="75" w:type="dxa"/>
                  </w:tcMar>
                  <w:vAlign w:val="center"/>
                </w:tcPr>
                <w:p w14:paraId="79E23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b w:val="0"/>
                      <w:i w:val="0"/>
                      <w:caps w:val="0"/>
                      <w:color w:val="000000"/>
                      <w:spacing w:val="0"/>
                      <w:sz w:val="21"/>
                      <w:szCs w:val="21"/>
                    </w:rPr>
                  </w:pPr>
                </w:p>
              </w:tc>
              <w:tc>
                <w:tcPr>
                  <w:tcW w:w="812" w:type="dxa"/>
                  <w:tcBorders>
                    <w:tl2br w:val="nil"/>
                    <w:tr2bl w:val="nil"/>
                  </w:tcBorders>
                  <w:shd w:val="clear" w:color="auto" w:fill="auto"/>
                  <w:noWrap w:val="0"/>
                  <w:tcMar>
                    <w:top w:w="45" w:type="dxa"/>
                    <w:left w:w="75" w:type="dxa"/>
                    <w:bottom w:w="45" w:type="dxa"/>
                    <w:right w:w="75" w:type="dxa"/>
                  </w:tcMar>
                  <w:vAlign w:val="center"/>
                </w:tcPr>
                <w:p w14:paraId="2CCE6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b/>
                      <w:bCs/>
                      <w:i w:val="0"/>
                      <w:caps w:val="0"/>
                      <w:color w:val="000000"/>
                      <w:spacing w:val="0"/>
                      <w:sz w:val="21"/>
                      <w:szCs w:val="21"/>
                    </w:rPr>
                  </w:pPr>
                  <w:r>
                    <w:rPr>
                      <w:rFonts w:hint="default" w:ascii="Times New Roman" w:hAnsi="Times New Roman" w:eastAsia="宋体" w:cs="Times New Roman"/>
                      <w:b/>
                      <w:bCs/>
                      <w:i w:val="0"/>
                      <w:caps w:val="0"/>
                      <w:color w:val="000000"/>
                      <w:spacing w:val="0"/>
                      <w:kern w:val="0"/>
                      <w:sz w:val="21"/>
                      <w:szCs w:val="21"/>
                      <w:lang w:val="en-US" w:eastAsia="zh-CN" w:bidi="ar"/>
                    </w:rPr>
                    <w:t>污染防治设施编号</w:t>
                  </w:r>
                </w:p>
              </w:tc>
              <w:tc>
                <w:tcPr>
                  <w:tcW w:w="1174" w:type="dxa"/>
                  <w:tcBorders>
                    <w:tl2br w:val="nil"/>
                    <w:tr2bl w:val="nil"/>
                  </w:tcBorders>
                  <w:shd w:val="clear" w:color="auto" w:fill="auto"/>
                  <w:noWrap w:val="0"/>
                  <w:tcMar>
                    <w:top w:w="45" w:type="dxa"/>
                    <w:left w:w="75" w:type="dxa"/>
                    <w:bottom w:w="45" w:type="dxa"/>
                    <w:right w:w="75" w:type="dxa"/>
                  </w:tcMar>
                  <w:vAlign w:val="center"/>
                </w:tcPr>
                <w:p w14:paraId="27848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b/>
                      <w:bCs/>
                      <w:i w:val="0"/>
                      <w:caps w:val="0"/>
                      <w:color w:val="000000"/>
                      <w:spacing w:val="0"/>
                      <w:sz w:val="21"/>
                      <w:szCs w:val="21"/>
                    </w:rPr>
                  </w:pPr>
                  <w:r>
                    <w:rPr>
                      <w:rFonts w:hint="default" w:ascii="Times New Roman" w:hAnsi="Times New Roman" w:eastAsia="宋体" w:cs="Times New Roman"/>
                      <w:b/>
                      <w:bCs/>
                      <w:i w:val="0"/>
                      <w:caps w:val="0"/>
                      <w:color w:val="000000"/>
                      <w:spacing w:val="0"/>
                      <w:kern w:val="0"/>
                      <w:sz w:val="21"/>
                      <w:szCs w:val="21"/>
                      <w:lang w:val="en-US" w:eastAsia="zh-CN" w:bidi="ar"/>
                    </w:rPr>
                    <w:t>污染治理设施工艺</w:t>
                  </w:r>
                </w:p>
              </w:tc>
              <w:tc>
                <w:tcPr>
                  <w:tcW w:w="755" w:type="dxa"/>
                  <w:tcBorders>
                    <w:tl2br w:val="nil"/>
                    <w:tr2bl w:val="nil"/>
                  </w:tcBorders>
                  <w:shd w:val="clear" w:color="auto" w:fill="auto"/>
                  <w:noWrap w:val="0"/>
                  <w:tcMar>
                    <w:top w:w="45" w:type="dxa"/>
                    <w:left w:w="75" w:type="dxa"/>
                    <w:bottom w:w="45" w:type="dxa"/>
                    <w:right w:w="75" w:type="dxa"/>
                  </w:tcMar>
                  <w:vAlign w:val="center"/>
                </w:tcPr>
                <w:p w14:paraId="5B5E2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i w:val="0"/>
                      <w:caps w:val="0"/>
                      <w:color w:val="000000"/>
                      <w:spacing w:val="0"/>
                      <w:kern w:val="0"/>
                      <w:sz w:val="21"/>
                      <w:szCs w:val="21"/>
                      <w:lang w:val="en-US" w:eastAsia="zh-CN" w:bidi="ar"/>
                    </w:rPr>
                  </w:pPr>
                  <w:r>
                    <w:rPr>
                      <w:rFonts w:hint="eastAsia" w:ascii="Times New Roman" w:hAnsi="Times New Roman" w:eastAsia="宋体" w:cs="Times New Roman"/>
                      <w:b/>
                      <w:bCs/>
                      <w:i w:val="0"/>
                      <w:caps w:val="0"/>
                      <w:color w:val="000000"/>
                      <w:spacing w:val="0"/>
                      <w:sz w:val="21"/>
                      <w:szCs w:val="21"/>
                      <w:lang w:val="en-US" w:eastAsia="zh-CN"/>
                    </w:rPr>
                    <w:t>处理能力</w:t>
                  </w:r>
                </w:p>
              </w:tc>
              <w:tc>
                <w:tcPr>
                  <w:tcW w:w="1466" w:type="dxa"/>
                  <w:tcBorders>
                    <w:tl2br w:val="nil"/>
                    <w:tr2bl w:val="nil"/>
                  </w:tcBorders>
                  <w:shd w:val="clear" w:color="auto" w:fill="auto"/>
                  <w:noWrap w:val="0"/>
                  <w:tcMar>
                    <w:top w:w="45" w:type="dxa"/>
                    <w:left w:w="75" w:type="dxa"/>
                    <w:bottom w:w="45" w:type="dxa"/>
                    <w:right w:w="75" w:type="dxa"/>
                  </w:tcMar>
                  <w:vAlign w:val="center"/>
                </w:tcPr>
                <w:p w14:paraId="58269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b/>
                      <w:bCs/>
                      <w:i w:val="0"/>
                      <w:caps w:val="0"/>
                      <w:color w:val="000000"/>
                      <w:spacing w:val="0"/>
                      <w:kern w:val="0"/>
                      <w:sz w:val="21"/>
                      <w:szCs w:val="21"/>
                      <w:lang w:val="en-US" w:eastAsia="zh-CN" w:bidi="ar"/>
                    </w:rPr>
                  </w:pPr>
                  <w:r>
                    <w:rPr>
                      <w:rFonts w:hint="eastAsia" w:ascii="Times New Roman" w:hAnsi="Times New Roman" w:eastAsia="宋体" w:cs="Times New Roman"/>
                      <w:b/>
                      <w:bCs/>
                      <w:i w:val="0"/>
                      <w:caps w:val="0"/>
                      <w:color w:val="000000"/>
                      <w:spacing w:val="0"/>
                      <w:kern w:val="0"/>
                      <w:sz w:val="21"/>
                      <w:szCs w:val="21"/>
                      <w:lang w:val="en-US" w:eastAsia="zh-CN" w:bidi="ar"/>
                    </w:rPr>
                    <w:t>治理效率</w:t>
                  </w:r>
                  <w:r>
                    <w:rPr>
                      <w:rFonts w:hint="eastAsia" w:cs="Times New Roman"/>
                      <w:b/>
                      <w:bCs/>
                      <w:i w:val="0"/>
                      <w:caps w:val="0"/>
                      <w:color w:val="000000"/>
                      <w:spacing w:val="0"/>
                      <w:kern w:val="0"/>
                      <w:sz w:val="21"/>
                      <w:szCs w:val="21"/>
                      <w:lang w:val="en-US" w:eastAsia="zh-CN" w:bidi="ar"/>
                    </w:rPr>
                    <w:t>%</w:t>
                  </w:r>
                </w:p>
              </w:tc>
              <w:tc>
                <w:tcPr>
                  <w:tcW w:w="785" w:type="dxa"/>
                  <w:tcBorders>
                    <w:tl2br w:val="nil"/>
                    <w:tr2bl w:val="nil"/>
                  </w:tcBorders>
                  <w:shd w:val="clear" w:color="auto" w:fill="auto"/>
                  <w:noWrap w:val="0"/>
                  <w:tcMar>
                    <w:top w:w="45" w:type="dxa"/>
                    <w:left w:w="75" w:type="dxa"/>
                    <w:bottom w:w="45" w:type="dxa"/>
                    <w:right w:w="75" w:type="dxa"/>
                  </w:tcMar>
                  <w:vAlign w:val="center"/>
                </w:tcPr>
                <w:p w14:paraId="29D60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b/>
                      <w:bCs/>
                      <w:i w:val="0"/>
                      <w:caps w:val="0"/>
                      <w:color w:val="000000"/>
                      <w:spacing w:val="0"/>
                      <w:sz w:val="21"/>
                      <w:szCs w:val="21"/>
                    </w:rPr>
                  </w:pPr>
                  <w:r>
                    <w:rPr>
                      <w:rFonts w:hint="default" w:ascii="Times New Roman" w:hAnsi="Times New Roman" w:eastAsia="宋体" w:cs="Times New Roman"/>
                      <w:b/>
                      <w:bCs/>
                      <w:i w:val="0"/>
                      <w:caps w:val="0"/>
                      <w:color w:val="000000"/>
                      <w:spacing w:val="0"/>
                      <w:kern w:val="0"/>
                      <w:sz w:val="21"/>
                      <w:szCs w:val="21"/>
                      <w:lang w:val="en-US" w:eastAsia="zh-CN" w:bidi="ar"/>
                    </w:rPr>
                    <w:t>是否为可行技术</w:t>
                  </w:r>
                </w:p>
              </w:tc>
              <w:tc>
                <w:tcPr>
                  <w:tcW w:w="829" w:type="dxa"/>
                  <w:vMerge w:val="continue"/>
                  <w:tcBorders>
                    <w:tl2br w:val="nil"/>
                    <w:tr2bl w:val="nil"/>
                  </w:tcBorders>
                  <w:shd w:val="clear" w:color="auto" w:fill="auto"/>
                  <w:noWrap w:val="0"/>
                  <w:tcMar>
                    <w:top w:w="45" w:type="dxa"/>
                    <w:left w:w="75" w:type="dxa"/>
                    <w:bottom w:w="45" w:type="dxa"/>
                    <w:right w:w="75" w:type="dxa"/>
                  </w:tcMar>
                  <w:vAlign w:val="center"/>
                </w:tcPr>
                <w:p w14:paraId="2BC0E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b w:val="0"/>
                      <w:i w:val="0"/>
                      <w:caps w:val="0"/>
                      <w:color w:val="000000"/>
                      <w:spacing w:val="0"/>
                      <w:sz w:val="21"/>
                      <w:szCs w:val="21"/>
                    </w:rPr>
                  </w:pPr>
                </w:p>
              </w:tc>
            </w:tr>
            <w:tr w14:paraId="29E7C995">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CellMar>
                  <w:top w:w="15" w:type="dxa"/>
                  <w:left w:w="15" w:type="dxa"/>
                  <w:bottom w:w="15" w:type="dxa"/>
                  <w:right w:w="15" w:type="dxa"/>
                </w:tblCellMar>
              </w:tblPrEx>
              <w:trPr>
                <w:trHeight w:val="340" w:hRule="atLeast"/>
                <w:jc w:val="center"/>
              </w:trPr>
              <w:tc>
                <w:tcPr>
                  <w:tcW w:w="718" w:type="dxa"/>
                  <w:tcBorders>
                    <w:tl2br w:val="nil"/>
                    <w:tr2bl w:val="nil"/>
                  </w:tcBorders>
                  <w:shd w:val="clear" w:color="auto" w:fill="auto"/>
                  <w:noWrap w:val="0"/>
                  <w:tcMar>
                    <w:top w:w="45" w:type="dxa"/>
                    <w:left w:w="75" w:type="dxa"/>
                    <w:bottom w:w="45" w:type="dxa"/>
                    <w:right w:w="75" w:type="dxa"/>
                  </w:tcMar>
                  <w:vAlign w:val="center"/>
                </w:tcPr>
                <w:p w14:paraId="45F42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i w:val="0"/>
                      <w:caps w:val="0"/>
                      <w:color w:val="000000"/>
                      <w:spacing w:val="0"/>
                      <w:sz w:val="21"/>
                      <w:szCs w:val="21"/>
                      <w:lang w:val="en-US" w:eastAsia="zh-CN"/>
                    </w:rPr>
                  </w:pPr>
                  <w:r>
                    <w:rPr>
                      <w:rFonts w:hint="default" w:ascii="Times New Roman" w:hAnsi="Times New Roman" w:cs="Times New Roman"/>
                      <w:color w:val="000000"/>
                      <w:lang w:val="en-US" w:eastAsia="zh-CN"/>
                    </w:rPr>
                    <w:t>生活污水</w:t>
                  </w:r>
                </w:p>
              </w:tc>
              <w:tc>
                <w:tcPr>
                  <w:tcW w:w="1162" w:type="dxa"/>
                  <w:tcBorders>
                    <w:tl2br w:val="nil"/>
                    <w:tr2bl w:val="nil"/>
                  </w:tcBorders>
                  <w:shd w:val="clear" w:color="auto" w:fill="auto"/>
                  <w:noWrap w:val="0"/>
                  <w:tcMar>
                    <w:top w:w="45" w:type="dxa"/>
                    <w:left w:w="75" w:type="dxa"/>
                    <w:bottom w:w="45" w:type="dxa"/>
                    <w:right w:w="75" w:type="dxa"/>
                  </w:tcMar>
                  <w:vAlign w:val="center"/>
                </w:tcPr>
                <w:p w14:paraId="7C148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eastAsia"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COD</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position w:val="2"/>
                      <w:sz w:val="21"/>
                      <w:szCs w:val="21"/>
                      <w:highlight w:val="none"/>
                    </w:rPr>
                    <w:t>BOD</w:t>
                  </w:r>
                  <w:r>
                    <w:rPr>
                      <w:rFonts w:hint="default" w:ascii="Times New Roman" w:hAnsi="Times New Roman" w:eastAsia="宋体" w:cs="Times New Roman"/>
                      <w:color w:val="000000"/>
                      <w:position w:val="2"/>
                      <w:sz w:val="21"/>
                      <w:szCs w:val="21"/>
                      <w:highlight w:val="none"/>
                      <w:vertAlign w:val="subscript"/>
                    </w:rPr>
                    <w:t>5</w:t>
                  </w:r>
                  <w:r>
                    <w:rPr>
                      <w:rFonts w:hint="eastAsia" w:ascii="Times New Roman" w:hAnsi="Times New Roman" w:eastAsia="宋体" w:cs="Times New Roman"/>
                      <w:color w:val="000000"/>
                      <w:position w:val="2"/>
                      <w:sz w:val="21"/>
                      <w:szCs w:val="21"/>
                      <w:highlight w:val="none"/>
                      <w:vertAlign w:val="baseline"/>
                      <w:lang w:eastAsia="zh-CN"/>
                    </w:rPr>
                    <w:t>、</w:t>
                  </w:r>
                  <w:r>
                    <w:rPr>
                      <w:rFonts w:hint="default" w:ascii="Times New Roman" w:hAnsi="Times New Roman" w:eastAsia="宋体" w:cs="Times New Roman"/>
                      <w:color w:val="000000"/>
                      <w:sz w:val="21"/>
                      <w:szCs w:val="21"/>
                      <w:highlight w:val="none"/>
                    </w:rPr>
                    <w:t>SS</w:t>
                  </w:r>
                  <w:r>
                    <w:rPr>
                      <w:rFonts w:hint="eastAsia" w:ascii="Times New Roman" w:hAnsi="Times New Roman" w:eastAsia="宋体" w:cs="Times New Roman"/>
                      <w:color w:val="000000"/>
                      <w:sz w:val="21"/>
                      <w:szCs w:val="21"/>
                      <w:highlight w:val="none"/>
                      <w:lang w:eastAsia="zh-CN"/>
                    </w:rPr>
                    <w:t>、</w:t>
                  </w:r>
                </w:p>
                <w:p w14:paraId="325FE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i w:val="0"/>
                      <w:caps w:val="0"/>
                      <w:color w:val="000000"/>
                      <w:spacing w:val="0"/>
                      <w:sz w:val="21"/>
                      <w:szCs w:val="21"/>
                      <w:lang w:val="en-US" w:eastAsia="zh-CN"/>
                    </w:rPr>
                  </w:pPr>
                  <w:r>
                    <w:rPr>
                      <w:rFonts w:hint="default"/>
                      <w:color w:val="000000"/>
                      <w:sz w:val="21"/>
                      <w:szCs w:val="21"/>
                      <w:lang w:val="en-US" w:eastAsia="zh-CN"/>
                    </w:rPr>
                    <w:t>NH</w:t>
                  </w:r>
                  <w:r>
                    <w:rPr>
                      <w:rFonts w:hint="default"/>
                      <w:color w:val="000000"/>
                      <w:sz w:val="21"/>
                      <w:szCs w:val="21"/>
                      <w:vertAlign w:val="subscript"/>
                      <w:lang w:val="en-US" w:eastAsia="zh-CN"/>
                    </w:rPr>
                    <w:t>3</w:t>
                  </w:r>
                  <w:r>
                    <w:rPr>
                      <w:rFonts w:hint="default"/>
                      <w:color w:val="000000"/>
                      <w:sz w:val="21"/>
                      <w:szCs w:val="21"/>
                      <w:lang w:val="en-US" w:eastAsia="zh-CN"/>
                    </w:rPr>
                    <w:t>-N</w:t>
                  </w:r>
                  <w:r>
                    <w:rPr>
                      <w:rFonts w:hint="eastAsia"/>
                      <w:color w:val="000000"/>
                      <w:sz w:val="21"/>
                      <w:szCs w:val="21"/>
                      <w:lang w:val="en-US" w:eastAsia="zh-CN"/>
                    </w:rPr>
                    <w:t>、TN</w:t>
                  </w:r>
                </w:p>
              </w:tc>
              <w:tc>
                <w:tcPr>
                  <w:tcW w:w="575" w:type="dxa"/>
                  <w:tcBorders>
                    <w:tl2br w:val="nil"/>
                    <w:tr2bl w:val="nil"/>
                  </w:tcBorders>
                  <w:shd w:val="clear" w:color="auto" w:fill="auto"/>
                  <w:noWrap w:val="0"/>
                  <w:tcMar>
                    <w:top w:w="45" w:type="dxa"/>
                    <w:left w:w="75" w:type="dxa"/>
                    <w:bottom w:w="45" w:type="dxa"/>
                    <w:right w:w="75" w:type="dxa"/>
                  </w:tcMar>
                  <w:vAlign w:val="center"/>
                </w:tcPr>
                <w:p w14:paraId="6BA5C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i w:val="0"/>
                      <w:caps w:val="0"/>
                      <w:color w:val="000000"/>
                      <w:spacing w:val="0"/>
                      <w:sz w:val="21"/>
                      <w:szCs w:val="21"/>
                      <w:lang w:val="en-US" w:eastAsia="zh-CN"/>
                    </w:rPr>
                  </w:pPr>
                  <w:r>
                    <w:rPr>
                      <w:rFonts w:hint="eastAsia" w:eastAsia="宋体" w:cs="Times New Roman"/>
                      <w:i w:val="0"/>
                      <w:caps w:val="0"/>
                      <w:color w:val="000000"/>
                      <w:spacing w:val="0"/>
                      <w:sz w:val="21"/>
                      <w:szCs w:val="21"/>
                      <w:lang w:val="en-US" w:eastAsia="zh-CN"/>
                    </w:rPr>
                    <w:t>间接排放</w:t>
                  </w:r>
                </w:p>
              </w:tc>
              <w:tc>
                <w:tcPr>
                  <w:tcW w:w="812" w:type="dxa"/>
                  <w:tcBorders>
                    <w:tl2br w:val="nil"/>
                    <w:tr2bl w:val="nil"/>
                  </w:tcBorders>
                  <w:shd w:val="clear" w:color="auto" w:fill="auto"/>
                  <w:noWrap w:val="0"/>
                  <w:tcMar>
                    <w:top w:w="45" w:type="dxa"/>
                    <w:left w:w="75" w:type="dxa"/>
                    <w:bottom w:w="45" w:type="dxa"/>
                    <w:right w:w="75" w:type="dxa"/>
                  </w:tcMar>
                  <w:vAlign w:val="center"/>
                </w:tcPr>
                <w:p w14:paraId="20F69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i w:val="0"/>
                      <w:caps w:val="0"/>
                      <w:color w:val="000000"/>
                      <w:spacing w:val="0"/>
                      <w:sz w:val="21"/>
                      <w:szCs w:val="21"/>
                      <w:lang w:val="en-US" w:eastAsia="zh-CN"/>
                    </w:rPr>
                  </w:pPr>
                  <w:r>
                    <w:rPr>
                      <w:rFonts w:hint="eastAsia" w:eastAsia="宋体" w:cs="Times New Roman"/>
                      <w:i w:val="0"/>
                      <w:caps w:val="0"/>
                      <w:color w:val="000000"/>
                      <w:spacing w:val="0"/>
                      <w:sz w:val="21"/>
                      <w:szCs w:val="21"/>
                      <w:lang w:val="en-US" w:eastAsia="zh-CN"/>
                    </w:rPr>
                    <w:t>TW001</w:t>
                  </w:r>
                </w:p>
              </w:tc>
              <w:tc>
                <w:tcPr>
                  <w:tcW w:w="1174" w:type="dxa"/>
                  <w:tcBorders>
                    <w:tl2br w:val="nil"/>
                    <w:tr2bl w:val="nil"/>
                  </w:tcBorders>
                  <w:shd w:val="clear" w:color="auto" w:fill="auto"/>
                  <w:noWrap w:val="0"/>
                  <w:tcMar>
                    <w:top w:w="45" w:type="dxa"/>
                    <w:left w:w="75" w:type="dxa"/>
                    <w:bottom w:w="45" w:type="dxa"/>
                    <w:right w:w="75" w:type="dxa"/>
                  </w:tcMar>
                  <w:vAlign w:val="center"/>
                </w:tcPr>
                <w:p w14:paraId="609BC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i w:val="0"/>
                      <w:caps w:val="0"/>
                      <w:color w:val="000000"/>
                      <w:spacing w:val="0"/>
                      <w:sz w:val="21"/>
                      <w:szCs w:val="21"/>
                      <w:lang w:val="en-US" w:eastAsia="zh-CN"/>
                    </w:rPr>
                  </w:pPr>
                  <w:r>
                    <w:rPr>
                      <w:rFonts w:hint="default" w:ascii="Times New Roman" w:hAnsi="Times New Roman" w:cs="Times New Roman"/>
                      <w:color w:val="000000"/>
                      <w:lang w:val="en-US" w:eastAsia="zh-CN"/>
                    </w:rPr>
                    <w:t>化粪池</w:t>
                  </w:r>
                </w:p>
              </w:tc>
              <w:tc>
                <w:tcPr>
                  <w:tcW w:w="755" w:type="dxa"/>
                  <w:tcBorders>
                    <w:tl2br w:val="nil"/>
                    <w:tr2bl w:val="nil"/>
                  </w:tcBorders>
                  <w:shd w:val="clear" w:color="auto" w:fill="auto"/>
                  <w:noWrap w:val="0"/>
                  <w:tcMar>
                    <w:top w:w="45" w:type="dxa"/>
                    <w:left w:w="75" w:type="dxa"/>
                    <w:bottom w:w="45" w:type="dxa"/>
                    <w:right w:w="75" w:type="dxa"/>
                  </w:tcMar>
                  <w:vAlign w:val="center"/>
                </w:tcPr>
                <w:p w14:paraId="56275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cs="Times New Roman"/>
                      <w:color w:val="000000"/>
                      <w:lang w:val="en-US" w:eastAsia="zh-CN"/>
                    </w:rPr>
                  </w:pPr>
                  <w:r>
                    <w:rPr>
                      <w:rFonts w:hint="eastAsia" w:cs="Times New Roman"/>
                      <w:color w:val="auto"/>
                      <w:kern w:val="0"/>
                      <w:sz w:val="21"/>
                      <w:szCs w:val="21"/>
                      <w:lang w:val="en-US" w:eastAsia="zh-CN" w:bidi="ar-SA"/>
                    </w:rPr>
                    <w:t>50</w:t>
                  </w:r>
                  <w:r>
                    <w:rPr>
                      <w:rFonts w:hint="default" w:ascii="Times New Roman" w:hAnsi="Times New Roman" w:cs="Times New Roman"/>
                      <w:color w:val="auto"/>
                      <w:kern w:val="0"/>
                      <w:sz w:val="21"/>
                      <w:szCs w:val="21"/>
                      <w:lang w:val="en-US" w:eastAsia="zh-CN" w:bidi="ar-SA"/>
                    </w:rPr>
                    <w:t>m</w:t>
                  </w:r>
                  <w:r>
                    <w:rPr>
                      <w:rFonts w:hint="default" w:ascii="Times New Roman" w:hAnsi="Times New Roman" w:cs="Times New Roman"/>
                      <w:color w:val="auto"/>
                      <w:kern w:val="0"/>
                      <w:sz w:val="21"/>
                      <w:szCs w:val="21"/>
                      <w:vertAlign w:val="superscript"/>
                      <w:lang w:val="en-US" w:eastAsia="zh-CN" w:bidi="ar-SA"/>
                    </w:rPr>
                    <w:t>3</w:t>
                  </w:r>
                  <w:r>
                    <w:rPr>
                      <w:rFonts w:hint="eastAsia" w:ascii="Times New Roman" w:hAnsi="Times New Roman" w:cs="Times New Roman"/>
                      <w:color w:val="auto"/>
                      <w:kern w:val="0"/>
                      <w:sz w:val="21"/>
                      <w:szCs w:val="21"/>
                      <w:vertAlign w:val="baseline"/>
                      <w:lang w:val="en-US" w:eastAsia="zh-CN" w:bidi="ar-SA"/>
                    </w:rPr>
                    <w:t>/d</w:t>
                  </w:r>
                </w:p>
              </w:tc>
              <w:tc>
                <w:tcPr>
                  <w:tcW w:w="1466" w:type="dxa"/>
                  <w:tcBorders>
                    <w:tl2br w:val="nil"/>
                    <w:tr2bl w:val="nil"/>
                  </w:tcBorders>
                  <w:shd w:val="clear" w:color="auto" w:fill="auto"/>
                  <w:noWrap w:val="0"/>
                  <w:tcMar>
                    <w:top w:w="45" w:type="dxa"/>
                    <w:left w:w="75" w:type="dxa"/>
                    <w:bottom w:w="45" w:type="dxa"/>
                    <w:right w:w="75" w:type="dxa"/>
                  </w:tcMar>
                  <w:vAlign w:val="center"/>
                </w:tcPr>
                <w:p w14:paraId="4CFE8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eastAsia"/>
                      <w:color w:val="000000"/>
                      <w:lang w:val="en-US" w:eastAsia="zh-CN"/>
                    </w:rPr>
                  </w:pPr>
                  <w:r>
                    <w:rPr>
                      <w:rFonts w:hint="eastAsia"/>
                      <w:color w:val="000000"/>
                      <w:lang w:val="en-US" w:eastAsia="zh-CN"/>
                    </w:rPr>
                    <w:t>COD：64%；BOD</w:t>
                  </w:r>
                  <w:r>
                    <w:rPr>
                      <w:rFonts w:hint="eastAsia"/>
                      <w:color w:val="000000"/>
                      <w:vertAlign w:val="subscript"/>
                      <w:lang w:val="en-US" w:eastAsia="zh-CN"/>
                    </w:rPr>
                    <w:t>5</w:t>
                  </w:r>
                  <w:r>
                    <w:rPr>
                      <w:rFonts w:hint="eastAsia"/>
                      <w:color w:val="000000"/>
                      <w:lang w:val="en-US" w:eastAsia="zh-CN"/>
                    </w:rPr>
                    <w:t>：22.6%；</w:t>
                  </w:r>
                </w:p>
                <w:p w14:paraId="06C1D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eastAsia"/>
                      <w:color w:val="000000"/>
                      <w:lang w:val="en-US" w:eastAsia="zh-CN"/>
                    </w:rPr>
                  </w:pPr>
                  <w:r>
                    <w:rPr>
                      <w:rFonts w:hint="eastAsia"/>
                      <w:color w:val="000000"/>
                      <w:lang w:val="en-US" w:eastAsia="zh-CN"/>
                    </w:rPr>
                    <w:t>SS：60%；</w:t>
                  </w:r>
                </w:p>
                <w:p w14:paraId="2E3D3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lang w:val="en-US" w:eastAsia="zh-CN"/>
                    </w:rPr>
                  </w:pPr>
                  <w:r>
                    <w:rPr>
                      <w:rFonts w:hint="eastAsia"/>
                      <w:color w:val="000000"/>
                      <w:lang w:val="en-US" w:eastAsia="zh-CN"/>
                    </w:rPr>
                    <w:t>NH</w:t>
                  </w:r>
                  <w:r>
                    <w:rPr>
                      <w:rFonts w:hint="eastAsia"/>
                      <w:color w:val="000000"/>
                      <w:vertAlign w:val="subscript"/>
                      <w:lang w:val="en-US" w:eastAsia="zh-CN"/>
                    </w:rPr>
                    <w:t>3</w:t>
                  </w:r>
                  <w:r>
                    <w:rPr>
                      <w:rFonts w:hint="eastAsia"/>
                      <w:color w:val="000000"/>
                      <w:lang w:val="en-US" w:eastAsia="zh-CN"/>
                    </w:rPr>
                    <w:t>-N：53%；</w:t>
                  </w:r>
                  <w:r>
                    <w:rPr>
                      <w:rFonts w:hint="eastAsia" w:ascii="Times New Roman" w:hAnsi="Times New Roman" w:eastAsia="宋体" w:cs="Times New Roman"/>
                      <w:color w:val="000000"/>
                      <w:kern w:val="2"/>
                      <w:sz w:val="21"/>
                      <w:szCs w:val="24"/>
                      <w:lang w:val="en-US" w:eastAsia="zh-CN" w:bidi="ar-SA"/>
                    </w:rPr>
                    <w:t>TN：46%</w:t>
                  </w:r>
                </w:p>
              </w:tc>
              <w:tc>
                <w:tcPr>
                  <w:tcW w:w="785" w:type="dxa"/>
                  <w:tcBorders>
                    <w:tl2br w:val="nil"/>
                    <w:tr2bl w:val="nil"/>
                  </w:tcBorders>
                  <w:shd w:val="clear" w:color="auto" w:fill="auto"/>
                  <w:noWrap w:val="0"/>
                  <w:tcMar>
                    <w:top w:w="45" w:type="dxa"/>
                    <w:left w:w="75" w:type="dxa"/>
                    <w:bottom w:w="45" w:type="dxa"/>
                    <w:right w:w="75" w:type="dxa"/>
                  </w:tcMar>
                  <w:vAlign w:val="center"/>
                </w:tcPr>
                <w:p w14:paraId="1E9C2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eastAsia" w:ascii="Times New Roman" w:hAnsi="Times New Roman" w:eastAsia="宋体" w:cs="Times New Roman"/>
                      <w:i w:val="0"/>
                      <w:caps w:val="0"/>
                      <w:color w:val="000000"/>
                      <w:spacing w:val="0"/>
                      <w:sz w:val="21"/>
                      <w:szCs w:val="21"/>
                      <w:lang w:val="en-US" w:eastAsia="zh-CN"/>
                    </w:rPr>
                  </w:pPr>
                  <w:r>
                    <w:rPr>
                      <w:rFonts w:hint="eastAsia" w:cs="Times New Roman"/>
                      <w:i w:val="0"/>
                      <w:caps w:val="0"/>
                      <w:color w:val="000000"/>
                      <w:spacing w:val="0"/>
                      <w:sz w:val="21"/>
                      <w:szCs w:val="21"/>
                      <w:lang w:val="en-US" w:eastAsia="zh-CN"/>
                    </w:rPr>
                    <w:t>是</w:t>
                  </w:r>
                </w:p>
              </w:tc>
              <w:tc>
                <w:tcPr>
                  <w:tcW w:w="829" w:type="dxa"/>
                  <w:tcBorders>
                    <w:tl2br w:val="nil"/>
                    <w:tr2bl w:val="nil"/>
                  </w:tcBorders>
                  <w:shd w:val="clear" w:color="auto" w:fill="auto"/>
                  <w:noWrap w:val="0"/>
                  <w:tcMar>
                    <w:top w:w="45" w:type="dxa"/>
                    <w:left w:w="75" w:type="dxa"/>
                    <w:bottom w:w="45" w:type="dxa"/>
                    <w:right w:w="75" w:type="dxa"/>
                  </w:tcMar>
                  <w:vAlign w:val="center"/>
                </w:tcPr>
                <w:p w14:paraId="3384E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jc w:val="center"/>
                    <w:textAlignment w:val="auto"/>
                    <w:rPr>
                      <w:rFonts w:hint="default" w:ascii="Times New Roman" w:hAnsi="Times New Roman" w:eastAsia="宋体" w:cs="Times New Roman"/>
                      <w:i w:val="0"/>
                      <w:caps w:val="0"/>
                      <w:color w:val="000000"/>
                      <w:spacing w:val="0"/>
                      <w:sz w:val="21"/>
                      <w:szCs w:val="21"/>
                      <w:lang w:val="en-US" w:eastAsia="zh-CN"/>
                    </w:rPr>
                  </w:pPr>
                  <w:r>
                    <w:rPr>
                      <w:rFonts w:hint="eastAsia" w:eastAsia="宋体" w:cs="Times New Roman"/>
                      <w:i w:val="0"/>
                      <w:caps w:val="0"/>
                      <w:color w:val="000000"/>
                      <w:spacing w:val="0"/>
                      <w:sz w:val="21"/>
                      <w:szCs w:val="21"/>
                      <w:lang w:val="en-US" w:eastAsia="zh-CN"/>
                    </w:rPr>
                    <w:t>DW001</w:t>
                  </w:r>
                </w:p>
              </w:tc>
            </w:tr>
          </w:tbl>
          <w:p w14:paraId="0CD24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outlineLvl w:val="9"/>
              <w:rPr>
                <w:rFonts w:hint="eastAsia" w:ascii="Times New Roman" w:hAnsi="Times New Roman" w:eastAsia="宋体" w:cs="Times New Roman"/>
                <w:b/>
                <w:bCs/>
                <w:color w:val="000000"/>
                <w:sz w:val="21"/>
                <w:szCs w:val="21"/>
                <w:lang w:val="en-US" w:eastAsia="zh-CN"/>
              </w:rPr>
            </w:pPr>
            <w:r>
              <w:rPr>
                <w:rFonts w:hint="default" w:ascii="Times New Roman" w:hAnsi="Times New Roman" w:eastAsia="宋体" w:cs="Times New Roman"/>
                <w:sz w:val="21"/>
                <w:szCs w:val="21"/>
                <w:lang w:val="en-US" w:eastAsia="zh-CN"/>
              </w:rPr>
              <w:t>项目属于其他纸制品制造行业，无纸制品行业专门对应的排污许可证申报技术指南，参照《排污许可证申报技术指南-总则》（HJ 819-2017）中，并未明确规定可行性技术。但本项目生活污水属于间接排放，</w:t>
            </w:r>
            <w:r>
              <w:rPr>
                <w:rFonts w:hint="eastAsia" w:cs="Times New Roman"/>
                <w:sz w:val="21"/>
                <w:szCs w:val="21"/>
                <w:lang w:val="en-US" w:eastAsia="zh-CN"/>
              </w:rPr>
              <w:t>根据</w:t>
            </w:r>
            <w:r>
              <w:rPr>
                <w:rFonts w:hint="default" w:ascii="Times New Roman" w:hAnsi="Times New Roman" w:eastAsia="宋体" w:cs="Times New Roman"/>
                <w:sz w:val="21"/>
                <w:szCs w:val="21"/>
                <w:lang w:val="en-US" w:eastAsia="zh-CN"/>
              </w:rPr>
              <w:t>4.1.4分析，采用化粪池处理生活污水可行。</w:t>
            </w:r>
            <w:r>
              <w:rPr>
                <w:rFonts w:hint="eastAsia" w:ascii="Times New Roman" w:hAnsi="Times New Roman" w:eastAsia="宋体" w:cs="Times New Roman"/>
                <w:sz w:val="21"/>
                <w:szCs w:val="21"/>
                <w:lang w:val="en-US" w:eastAsia="zh-CN"/>
              </w:rPr>
              <w:t>因此，</w:t>
            </w:r>
            <w:r>
              <w:rPr>
                <w:rFonts w:hint="default" w:ascii="Times New Roman" w:hAnsi="Times New Roman" w:eastAsia="宋体" w:cs="Times New Roman"/>
                <w:sz w:val="21"/>
                <w:szCs w:val="21"/>
                <w:lang w:val="en-US" w:eastAsia="zh-CN"/>
              </w:rPr>
              <w:t>项目生活污水处理工艺采用化粪池属于可行技术。</w:t>
            </w:r>
          </w:p>
          <w:p w14:paraId="2A7886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4.1.3废水排放口情况说明</w:t>
            </w:r>
          </w:p>
          <w:p w14:paraId="648EE54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000000"/>
                <w:kern w:val="2"/>
                <w:sz w:val="21"/>
                <w:szCs w:val="21"/>
                <w:lang w:val="zh-CN" w:eastAsia="zh-CN" w:bidi="ar-SA"/>
              </w:rPr>
            </w:pPr>
            <w:r>
              <w:rPr>
                <w:rFonts w:hint="default" w:ascii="Times New Roman" w:hAnsi="Times New Roman" w:cs="Times New Roman"/>
                <w:b/>
                <w:bCs/>
                <w:color w:val="000000"/>
                <w:sz w:val="21"/>
                <w:szCs w:val="21"/>
                <w:lang w:val="en-US" w:eastAsia="zh-CN"/>
              </w:rPr>
              <w:t>表4</w:t>
            </w:r>
            <w:r>
              <w:rPr>
                <w:rFonts w:hint="eastAsia" w:ascii="Times New Roman" w:hAnsi="Times New Roman" w:cs="Times New Roman"/>
                <w:b/>
                <w:bCs/>
                <w:color w:val="000000"/>
                <w:sz w:val="21"/>
                <w:szCs w:val="21"/>
                <w:lang w:val="en-US" w:eastAsia="zh-CN"/>
              </w:rPr>
              <w:t>-</w:t>
            </w:r>
            <w:r>
              <w:rPr>
                <w:rFonts w:hint="eastAsia" w:cs="Times New Roman"/>
                <w:b/>
                <w:bCs/>
                <w:color w:val="000000"/>
                <w:sz w:val="21"/>
                <w:szCs w:val="21"/>
                <w:lang w:val="en-US" w:eastAsia="zh-CN"/>
              </w:rPr>
              <w:t>4</w:t>
            </w:r>
            <w:r>
              <w:rPr>
                <w:rFonts w:hint="default" w:ascii="Times New Roman" w:hAnsi="Times New Roman" w:cs="Times New Roman"/>
                <w:b/>
                <w:bCs/>
                <w:color w:val="000000"/>
                <w:sz w:val="21"/>
                <w:szCs w:val="21"/>
                <w:lang w:val="en-US" w:eastAsia="zh-CN"/>
              </w:rPr>
              <w:t xml:space="preserve">  </w:t>
            </w:r>
            <w:r>
              <w:rPr>
                <w:rFonts w:hint="eastAsia" w:ascii="Times New Roman" w:hAnsi="Times New Roman" w:cs="Times New Roman"/>
                <w:b/>
                <w:bCs/>
                <w:color w:val="000000"/>
                <w:sz w:val="21"/>
                <w:szCs w:val="21"/>
                <w:lang w:val="en-US" w:eastAsia="zh-CN"/>
              </w:rPr>
              <w:t>项目废水排放口</w:t>
            </w:r>
            <w:r>
              <w:rPr>
                <w:rFonts w:hint="default" w:ascii="Times New Roman" w:hAnsi="Times New Roman" w:eastAsia="宋体" w:cs="Times New Roman"/>
                <w:b/>
                <w:color w:val="000000"/>
                <w:kern w:val="2"/>
                <w:sz w:val="21"/>
                <w:szCs w:val="21"/>
                <w:lang w:val="zh-CN" w:eastAsia="zh-CN" w:bidi="ar-SA"/>
              </w:rPr>
              <w:t>基本情况表</w:t>
            </w:r>
          </w:p>
          <w:tbl>
            <w:tblPr>
              <w:tblStyle w:val="20"/>
              <w:tblW w:w="500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69"/>
              <w:gridCol w:w="503"/>
              <w:gridCol w:w="665"/>
              <w:gridCol w:w="1266"/>
              <w:gridCol w:w="1133"/>
              <w:gridCol w:w="612"/>
              <w:gridCol w:w="1271"/>
              <w:gridCol w:w="2072"/>
            </w:tblGrid>
            <w:tr w14:paraId="61B85F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3" w:type="pct"/>
                  <w:vMerge w:val="restart"/>
                  <w:tcBorders>
                    <w:tl2br w:val="nil"/>
                    <w:tr2bl w:val="nil"/>
                  </w:tcBorders>
                  <w:noWrap w:val="0"/>
                  <w:vAlign w:val="center"/>
                </w:tcPr>
                <w:p w14:paraId="5C061A40">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排放口编号</w:t>
                  </w:r>
                </w:p>
              </w:tc>
              <w:tc>
                <w:tcPr>
                  <w:tcW w:w="303" w:type="pct"/>
                  <w:vMerge w:val="restart"/>
                  <w:tcBorders>
                    <w:tl2br w:val="nil"/>
                    <w:tr2bl w:val="nil"/>
                  </w:tcBorders>
                  <w:noWrap w:val="0"/>
                  <w:vAlign w:val="center"/>
                </w:tcPr>
                <w:p w14:paraId="19EF4B88">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排放口名称</w:t>
                  </w:r>
                </w:p>
              </w:tc>
              <w:tc>
                <w:tcPr>
                  <w:tcW w:w="401" w:type="pct"/>
                  <w:vMerge w:val="restart"/>
                  <w:tcBorders>
                    <w:tl2br w:val="nil"/>
                    <w:tr2bl w:val="nil"/>
                  </w:tcBorders>
                  <w:noWrap w:val="0"/>
                  <w:vAlign w:val="center"/>
                </w:tcPr>
                <w:p w14:paraId="06BD4385">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排放口类型</w:t>
                  </w:r>
                </w:p>
              </w:tc>
              <w:tc>
                <w:tcPr>
                  <w:tcW w:w="1446" w:type="pct"/>
                  <w:gridSpan w:val="2"/>
                  <w:tcBorders>
                    <w:tl2br w:val="nil"/>
                    <w:tr2bl w:val="nil"/>
                  </w:tcBorders>
                  <w:noWrap w:val="0"/>
                  <w:vAlign w:val="center"/>
                </w:tcPr>
                <w:p w14:paraId="165E8B6C">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排放口地理坐标</w:t>
                  </w:r>
                </w:p>
              </w:tc>
              <w:tc>
                <w:tcPr>
                  <w:tcW w:w="369" w:type="pct"/>
                  <w:vMerge w:val="restart"/>
                  <w:tcBorders>
                    <w:tl2br w:val="nil"/>
                    <w:tr2bl w:val="nil"/>
                  </w:tcBorders>
                  <w:noWrap w:val="0"/>
                  <w:vAlign w:val="center"/>
                </w:tcPr>
                <w:p w14:paraId="12479E81">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排放去向</w:t>
                  </w:r>
                </w:p>
              </w:tc>
              <w:tc>
                <w:tcPr>
                  <w:tcW w:w="766" w:type="pct"/>
                  <w:vMerge w:val="restart"/>
                  <w:tcBorders>
                    <w:tl2br w:val="nil"/>
                    <w:tr2bl w:val="nil"/>
                  </w:tcBorders>
                  <w:noWrap w:val="0"/>
                  <w:vAlign w:val="center"/>
                </w:tcPr>
                <w:p w14:paraId="5B1A382A">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排放规律</w:t>
                  </w:r>
                </w:p>
              </w:tc>
              <w:tc>
                <w:tcPr>
                  <w:tcW w:w="1249" w:type="pct"/>
                  <w:vMerge w:val="restart"/>
                  <w:tcBorders>
                    <w:tl2br w:val="nil"/>
                    <w:tr2bl w:val="nil"/>
                  </w:tcBorders>
                  <w:noWrap w:val="0"/>
                  <w:vAlign w:val="center"/>
                </w:tcPr>
                <w:p w14:paraId="3FCD4FEF">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执行标准</w:t>
                  </w:r>
                </w:p>
              </w:tc>
            </w:tr>
            <w:tr w14:paraId="7A3CB88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3" w:type="pct"/>
                  <w:vMerge w:val="continue"/>
                  <w:tcBorders>
                    <w:tl2br w:val="nil"/>
                    <w:tr2bl w:val="nil"/>
                  </w:tcBorders>
                  <w:noWrap w:val="0"/>
                  <w:vAlign w:val="center"/>
                </w:tcPr>
                <w:p w14:paraId="661A018D">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p>
              </w:tc>
              <w:tc>
                <w:tcPr>
                  <w:tcW w:w="303" w:type="pct"/>
                  <w:vMerge w:val="continue"/>
                  <w:tcBorders>
                    <w:tl2br w:val="nil"/>
                    <w:tr2bl w:val="nil"/>
                  </w:tcBorders>
                  <w:noWrap w:val="0"/>
                  <w:vAlign w:val="center"/>
                </w:tcPr>
                <w:p w14:paraId="39FB07B9">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p>
              </w:tc>
              <w:tc>
                <w:tcPr>
                  <w:tcW w:w="401" w:type="pct"/>
                  <w:vMerge w:val="continue"/>
                  <w:tcBorders>
                    <w:tl2br w:val="nil"/>
                    <w:tr2bl w:val="nil"/>
                  </w:tcBorders>
                  <w:noWrap w:val="0"/>
                  <w:vAlign w:val="center"/>
                </w:tcPr>
                <w:p w14:paraId="536ADCE7">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p>
              </w:tc>
              <w:tc>
                <w:tcPr>
                  <w:tcW w:w="763" w:type="pct"/>
                  <w:tcBorders>
                    <w:tl2br w:val="nil"/>
                    <w:tr2bl w:val="nil"/>
                  </w:tcBorders>
                  <w:noWrap w:val="0"/>
                  <w:vAlign w:val="center"/>
                </w:tcPr>
                <w:p w14:paraId="01CE82A6">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en-US" w:eastAsia="zh-CN" w:bidi="ar-SA"/>
                    </w:rPr>
                  </w:pPr>
                  <w:r>
                    <w:rPr>
                      <w:rFonts w:hint="default" w:ascii="Times New Roman" w:hAnsi="Times New Roman" w:cs="Times New Roman"/>
                      <w:b/>
                      <w:bCs/>
                      <w:color w:val="auto"/>
                      <w:sz w:val="21"/>
                      <w:szCs w:val="21"/>
                    </w:rPr>
                    <w:t>经度</w:t>
                  </w:r>
                </w:p>
              </w:tc>
              <w:tc>
                <w:tcPr>
                  <w:tcW w:w="683" w:type="pct"/>
                  <w:tcBorders>
                    <w:tl2br w:val="nil"/>
                    <w:tr2bl w:val="nil"/>
                  </w:tcBorders>
                  <w:noWrap w:val="0"/>
                  <w:vAlign w:val="center"/>
                </w:tcPr>
                <w:p w14:paraId="096860B4">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en-US" w:eastAsia="zh-CN" w:bidi="ar-SA"/>
                    </w:rPr>
                  </w:pPr>
                  <w:r>
                    <w:rPr>
                      <w:rFonts w:hint="default" w:ascii="Times New Roman" w:hAnsi="Times New Roman" w:cs="Times New Roman"/>
                      <w:b/>
                      <w:bCs/>
                      <w:color w:val="auto"/>
                      <w:sz w:val="21"/>
                      <w:szCs w:val="21"/>
                    </w:rPr>
                    <w:t>纬度</w:t>
                  </w:r>
                </w:p>
              </w:tc>
              <w:tc>
                <w:tcPr>
                  <w:tcW w:w="369" w:type="pct"/>
                  <w:vMerge w:val="continue"/>
                  <w:tcBorders>
                    <w:tl2br w:val="nil"/>
                    <w:tr2bl w:val="nil"/>
                  </w:tcBorders>
                  <w:noWrap w:val="0"/>
                  <w:vAlign w:val="center"/>
                </w:tcPr>
                <w:p w14:paraId="6BBEE840">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p>
              </w:tc>
              <w:tc>
                <w:tcPr>
                  <w:tcW w:w="766" w:type="pct"/>
                  <w:vMerge w:val="continue"/>
                  <w:tcBorders>
                    <w:tl2br w:val="nil"/>
                    <w:tr2bl w:val="nil"/>
                  </w:tcBorders>
                  <w:noWrap w:val="0"/>
                  <w:vAlign w:val="center"/>
                </w:tcPr>
                <w:p w14:paraId="6D2D26DE">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p>
              </w:tc>
              <w:tc>
                <w:tcPr>
                  <w:tcW w:w="1249" w:type="pct"/>
                  <w:vMerge w:val="continue"/>
                  <w:tcBorders>
                    <w:tl2br w:val="nil"/>
                    <w:tr2bl w:val="nil"/>
                  </w:tcBorders>
                  <w:noWrap w:val="0"/>
                  <w:vAlign w:val="center"/>
                </w:tcPr>
                <w:p w14:paraId="55B65E49">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b/>
                      <w:bCs/>
                      <w:color w:val="000000"/>
                      <w:sz w:val="21"/>
                      <w:szCs w:val="21"/>
                    </w:rPr>
                  </w:pPr>
                </w:p>
              </w:tc>
            </w:tr>
            <w:tr w14:paraId="79E879A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463" w:type="pct"/>
                  <w:tcBorders>
                    <w:tl2br w:val="nil"/>
                    <w:tr2bl w:val="nil"/>
                  </w:tcBorders>
                  <w:noWrap w:val="0"/>
                  <w:vAlign w:val="center"/>
                </w:tcPr>
                <w:p w14:paraId="6D18C446">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DW00</w:t>
                  </w:r>
                  <w:r>
                    <w:rPr>
                      <w:rFonts w:hint="default" w:ascii="Times New Roman" w:hAnsi="Times New Roman" w:eastAsia="宋体" w:cs="Times New Roman"/>
                      <w:color w:val="000000"/>
                      <w:sz w:val="21"/>
                      <w:szCs w:val="21"/>
                      <w:lang w:val="en-US" w:eastAsia="zh-CN"/>
                    </w:rPr>
                    <w:t>1</w:t>
                  </w:r>
                </w:p>
              </w:tc>
              <w:tc>
                <w:tcPr>
                  <w:tcW w:w="303" w:type="pct"/>
                  <w:tcBorders>
                    <w:tl2br w:val="nil"/>
                    <w:tr2bl w:val="nil"/>
                  </w:tcBorders>
                  <w:noWrap w:val="0"/>
                  <w:vAlign w:val="center"/>
                </w:tcPr>
                <w:p w14:paraId="1043654F">
                  <w:pPr>
                    <w:pStyle w:val="32"/>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eastAsia="zh-CN"/>
                    </w:rPr>
                    <w:t>生活污水</w:t>
                  </w:r>
                </w:p>
              </w:tc>
              <w:tc>
                <w:tcPr>
                  <w:tcW w:w="401" w:type="pct"/>
                  <w:tcBorders>
                    <w:tl2br w:val="nil"/>
                    <w:tr2bl w:val="nil"/>
                  </w:tcBorders>
                  <w:noWrap w:val="0"/>
                  <w:vAlign w:val="center"/>
                </w:tcPr>
                <w:p w14:paraId="3DFFE2ED">
                  <w:pPr>
                    <w:pStyle w:val="32"/>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000000"/>
                      <w:sz w:val="21"/>
                      <w:szCs w:val="21"/>
                      <w:lang w:eastAsia="zh-CN"/>
                    </w:rPr>
                  </w:pPr>
                  <w:r>
                    <w:rPr>
                      <w:rFonts w:hint="eastAsia"/>
                      <w:color w:val="000000"/>
                      <w:sz w:val="21"/>
                      <w:szCs w:val="21"/>
                      <w:lang w:eastAsia="zh-CN"/>
                    </w:rPr>
                    <w:t>一般排放口</w:t>
                  </w:r>
                </w:p>
              </w:tc>
              <w:tc>
                <w:tcPr>
                  <w:tcW w:w="763" w:type="pct"/>
                  <w:tcBorders>
                    <w:tl2br w:val="nil"/>
                    <w:tr2bl w:val="nil"/>
                  </w:tcBorders>
                  <w:noWrap w:val="0"/>
                  <w:vAlign w:val="center"/>
                </w:tcPr>
                <w:p w14:paraId="7F089A2A">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118.704724°</w:t>
                  </w:r>
                </w:p>
              </w:tc>
              <w:tc>
                <w:tcPr>
                  <w:tcW w:w="683" w:type="pct"/>
                  <w:tcBorders>
                    <w:tl2br w:val="nil"/>
                    <w:tr2bl w:val="nil"/>
                  </w:tcBorders>
                  <w:noWrap w:val="0"/>
                  <w:vAlign w:val="center"/>
                </w:tcPr>
                <w:p w14:paraId="03215CB8">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25.028864°</w:t>
                  </w:r>
                </w:p>
              </w:tc>
              <w:tc>
                <w:tcPr>
                  <w:tcW w:w="369" w:type="pct"/>
                  <w:tcBorders>
                    <w:tl2br w:val="nil"/>
                    <w:tr2bl w:val="nil"/>
                  </w:tcBorders>
                  <w:noWrap w:val="0"/>
                  <w:vAlign w:val="center"/>
                </w:tcPr>
                <w:p w14:paraId="1F6AFEC2">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惠西</w:t>
                  </w:r>
                  <w:r>
                    <w:rPr>
                      <w:rFonts w:hint="default" w:ascii="Times New Roman" w:hAnsi="Times New Roman" w:eastAsia="宋体" w:cs="Times New Roman"/>
                      <w:color w:val="000000"/>
                      <w:sz w:val="21"/>
                      <w:szCs w:val="21"/>
                      <w:lang w:val="en-US" w:eastAsia="zh-CN"/>
                    </w:rPr>
                    <w:t>污水处理厂</w:t>
                  </w:r>
                </w:p>
              </w:tc>
              <w:tc>
                <w:tcPr>
                  <w:tcW w:w="766" w:type="pct"/>
                  <w:tcBorders>
                    <w:tl2br w:val="nil"/>
                    <w:tr2bl w:val="nil"/>
                  </w:tcBorders>
                  <w:noWrap w:val="0"/>
                  <w:vAlign w:val="center"/>
                </w:tcPr>
                <w:p w14:paraId="17FCAEE1">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间断排放，排放期间流量不稳定且无规律，但不属于冲击型排放</w:t>
                  </w:r>
                </w:p>
              </w:tc>
              <w:tc>
                <w:tcPr>
                  <w:tcW w:w="1249" w:type="pct"/>
                  <w:tcBorders>
                    <w:tl2br w:val="nil"/>
                    <w:tr2bl w:val="nil"/>
                  </w:tcBorders>
                  <w:noWrap w:val="0"/>
                  <w:vAlign w:val="center"/>
                </w:tcPr>
                <w:p w14:paraId="312989CA">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《污水综合排放标准》（GB8978-1996）表4三级标准、《污水排入城镇下水道水质标准》（GB/T31962-2015）表1中B级标准</w:t>
                  </w:r>
                </w:p>
              </w:tc>
            </w:tr>
          </w:tbl>
          <w:p w14:paraId="7BFFB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4.1.</w:t>
            </w:r>
            <w:r>
              <w:rPr>
                <w:rFonts w:hint="eastAsia" w:cs="Times New Roman"/>
                <w:b/>
                <w:bCs/>
                <w:color w:val="000000"/>
                <w:sz w:val="21"/>
                <w:szCs w:val="21"/>
                <w:lang w:val="en-US" w:eastAsia="zh-CN"/>
              </w:rPr>
              <w:t>4</w:t>
            </w:r>
            <w:r>
              <w:rPr>
                <w:rFonts w:hint="eastAsia" w:ascii="Times New Roman" w:hAnsi="Times New Roman" w:eastAsia="宋体" w:cs="Times New Roman"/>
                <w:b/>
                <w:bCs/>
                <w:color w:val="000000"/>
                <w:sz w:val="21"/>
                <w:szCs w:val="21"/>
                <w:lang w:val="en-US" w:eastAsia="zh-CN"/>
              </w:rPr>
              <w:t>废水间接排放可行性分析</w:t>
            </w:r>
          </w:p>
          <w:p w14:paraId="54A45B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rPr>
                <w:rFonts w:hint="eastAsia"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000000"/>
                <w:kern w:val="0"/>
                <w:sz w:val="21"/>
                <w:szCs w:val="21"/>
                <w:lang w:val="en-US" w:eastAsia="zh-CN" w:bidi="ar-SA"/>
              </w:rPr>
              <w:t>（1）生活污水污染防治措施可行性分析</w:t>
            </w:r>
          </w:p>
          <w:p w14:paraId="462358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根据业主提供资料，本项目生活污水产生量</w:t>
            </w:r>
            <w:r>
              <w:rPr>
                <w:rFonts w:hint="eastAsia" w:cs="Times New Roman"/>
                <w:color w:val="auto"/>
                <w:sz w:val="21"/>
                <w:szCs w:val="21"/>
                <w:highlight w:val="none"/>
                <w:lang w:val="en-US" w:eastAsia="zh-CN"/>
              </w:rPr>
              <w:t>为13.515</w:t>
            </w:r>
            <w:r>
              <w:rPr>
                <w:rFonts w:hint="default"/>
                <w:sz w:val="21"/>
                <w:szCs w:val="21"/>
              </w:rPr>
              <w:t>t/</w:t>
            </w:r>
            <w:r>
              <w:rPr>
                <w:rFonts w:hint="eastAsia"/>
                <w:sz w:val="21"/>
                <w:szCs w:val="21"/>
                <w:lang w:val="en-US" w:eastAsia="zh-CN"/>
              </w:rPr>
              <w:t>d</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化粪池容积50立方</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可容纳本项目的生活污水</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化粪池的工艺主要为分格沉淀、厌氧，专门处理生活污水的水质，因此项目生活</w:t>
            </w:r>
            <w:r>
              <w:rPr>
                <w:rFonts w:hint="eastAsia" w:ascii="Times New Roman" w:hAnsi="Times New Roman" w:eastAsia="宋体" w:cs="Times New Roman"/>
                <w:color w:val="auto"/>
                <w:sz w:val="21"/>
                <w:szCs w:val="21"/>
                <w:highlight w:val="none"/>
                <w:lang w:val="en-US" w:eastAsia="zh-CN"/>
              </w:rPr>
              <w:t>废水</w:t>
            </w:r>
            <w:r>
              <w:rPr>
                <w:rFonts w:hint="eastAsia" w:cs="Times New Roman"/>
                <w:color w:val="auto"/>
                <w:sz w:val="21"/>
                <w:szCs w:val="21"/>
                <w:highlight w:val="none"/>
                <w:lang w:val="en-US" w:eastAsia="zh-CN"/>
              </w:rPr>
              <w:t>经厂区内</w:t>
            </w:r>
            <w:r>
              <w:rPr>
                <w:rFonts w:hint="default" w:ascii="Times New Roman" w:hAnsi="Times New Roman" w:eastAsia="宋体" w:cs="Times New Roman"/>
                <w:color w:val="auto"/>
                <w:sz w:val="21"/>
                <w:szCs w:val="21"/>
                <w:lang w:val="en-US" w:eastAsia="zh-CN"/>
              </w:rPr>
              <w:t>化粪池处理是可行性的</w:t>
            </w:r>
            <w:r>
              <w:rPr>
                <w:rFonts w:hint="eastAsia" w:ascii="Times New Roman" w:hAnsi="Times New Roman" w:eastAsia="宋体" w:cs="Times New Roman"/>
                <w:color w:val="auto"/>
                <w:sz w:val="21"/>
                <w:szCs w:val="21"/>
                <w:lang w:val="en-US" w:eastAsia="zh-CN"/>
              </w:rPr>
              <w:t>。</w:t>
            </w:r>
          </w:p>
          <w:p w14:paraId="52480C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w:t>
            </w:r>
            <w:r>
              <w:rPr>
                <w:rFonts w:hint="eastAsia" w:cs="Times New Roman"/>
                <w:b/>
                <w:bCs/>
                <w:color w:val="000000"/>
                <w:sz w:val="21"/>
                <w:szCs w:val="21"/>
                <w:lang w:val="en-US" w:eastAsia="zh-CN"/>
              </w:rPr>
              <w:t>2</w:t>
            </w:r>
            <w:r>
              <w:rPr>
                <w:rFonts w:hint="default" w:ascii="Times New Roman" w:hAnsi="Times New Roman" w:eastAsia="宋体" w:cs="Times New Roman"/>
                <w:b/>
                <w:bCs/>
                <w:color w:val="000000"/>
                <w:sz w:val="21"/>
                <w:szCs w:val="21"/>
              </w:rPr>
              <w:t>）项目废水排入城东污水处理厂的可行性分析</w:t>
            </w:r>
          </w:p>
          <w:p w14:paraId="2A4733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w:t>
            </w:r>
            <w:r>
              <w:rPr>
                <w:rFonts w:hint="eastAsia" w:cs="Times New Roman"/>
                <w:color w:val="000000"/>
                <w:sz w:val="21"/>
                <w:szCs w:val="21"/>
                <w:lang w:val="en-US" w:eastAsia="zh-CN"/>
              </w:rPr>
              <w:t>惠西</w:t>
            </w:r>
            <w:r>
              <w:rPr>
                <w:rFonts w:hint="default" w:ascii="Times New Roman" w:hAnsi="Times New Roman" w:eastAsia="宋体" w:cs="Times New Roman"/>
                <w:color w:val="000000"/>
                <w:sz w:val="21"/>
                <w:szCs w:val="21"/>
              </w:rPr>
              <w:t>污水处理厂简介</w:t>
            </w:r>
          </w:p>
          <w:p w14:paraId="1C94F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①</w:t>
            </w:r>
            <w:r>
              <w:rPr>
                <w:rFonts w:hint="eastAsia" w:cs="Times New Roman"/>
                <w:color w:val="000000"/>
                <w:sz w:val="21"/>
                <w:szCs w:val="21"/>
                <w:lang w:val="en-US" w:eastAsia="zh-CN"/>
              </w:rPr>
              <w:t>惠西</w:t>
            </w:r>
            <w:r>
              <w:rPr>
                <w:rFonts w:hint="default" w:ascii="Times New Roman" w:hAnsi="Times New Roman" w:eastAsia="宋体" w:cs="Times New Roman"/>
                <w:color w:val="000000"/>
                <w:sz w:val="21"/>
                <w:szCs w:val="21"/>
              </w:rPr>
              <w:t>污水处理厂概况</w:t>
            </w:r>
          </w:p>
          <w:p w14:paraId="4AFBE1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惠安县惠西污水处理厂位于泉州市惠安县黄塘镇亭林村，黄塘溪东侧。惠安县惠西污水处理厂设计近期规模（2010年）为2.0万m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/d，远期规模为4.0万m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/d，目前该污水厂处理能力为2.0万m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/d。服务范围包括规划中的黄塘镇、紫山镇。污水处理厂采用CAST生物池工艺，出水水质为：COD≤50mg/L，BOD</w:t>
            </w:r>
            <w:r>
              <w:rPr>
                <w:rFonts w:hint="default" w:ascii="Times New Roman" w:hAnsi="Times New Roman" w:eastAsia="宋体" w:cs="Times New Roman"/>
                <w:color w:val="000000"/>
                <w:sz w:val="21"/>
                <w:szCs w:val="21"/>
                <w:vertAlign w:val="subscript"/>
              </w:rPr>
              <w:t>5</w:t>
            </w:r>
            <w:r>
              <w:rPr>
                <w:rFonts w:hint="default" w:ascii="Times New Roman" w:hAnsi="Times New Roman" w:eastAsia="宋体" w:cs="Times New Roman"/>
                <w:color w:val="000000"/>
                <w:sz w:val="21"/>
                <w:szCs w:val="21"/>
              </w:rPr>
              <w:t>≤10mg/L，SS≤10mg/L，NH</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-N≤5mg/L，T</w:t>
            </w:r>
            <w:r>
              <w:rPr>
                <w:rFonts w:hint="eastAsia" w:cs="Times New Roman"/>
                <w:color w:val="000000"/>
                <w:sz w:val="21"/>
                <w:szCs w:val="21"/>
                <w:lang w:val="en-US" w:eastAsia="zh-CN"/>
              </w:rPr>
              <w:t>N</w:t>
            </w:r>
            <w:r>
              <w:rPr>
                <w:rFonts w:hint="default" w:ascii="Times New Roman" w:hAnsi="Times New Roman" w:eastAsia="宋体" w:cs="Times New Roman"/>
                <w:color w:val="000000"/>
                <w:sz w:val="21"/>
                <w:szCs w:val="21"/>
              </w:rPr>
              <w:t>≤</w:t>
            </w:r>
            <w:r>
              <w:rPr>
                <w:rFonts w:hint="eastAsia" w:cs="Times New Roman"/>
                <w:color w:val="000000"/>
                <w:sz w:val="21"/>
                <w:szCs w:val="21"/>
                <w:lang w:val="en-US" w:eastAsia="zh-CN"/>
              </w:rPr>
              <w:t>15</w:t>
            </w:r>
            <w:r>
              <w:rPr>
                <w:rFonts w:hint="default" w:ascii="Times New Roman" w:hAnsi="Times New Roman" w:eastAsia="宋体" w:cs="Times New Roman"/>
                <w:color w:val="000000"/>
                <w:sz w:val="21"/>
                <w:szCs w:val="21"/>
              </w:rPr>
              <w:t>mg/L。污水处理厂尾水近期排入林辋溪上游北支流，流经紫山镇、螺阳镇，在螺阳镇汇入林辋溪干流。</w:t>
            </w:r>
          </w:p>
          <w:p w14:paraId="508EE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②</w:t>
            </w:r>
            <w:r>
              <w:rPr>
                <w:rFonts w:hint="eastAsia" w:cs="Times New Roman"/>
                <w:color w:val="000000"/>
                <w:sz w:val="21"/>
                <w:szCs w:val="21"/>
                <w:lang w:val="en-US" w:eastAsia="zh-CN"/>
              </w:rPr>
              <w:t>管网衔接可行性分析</w:t>
            </w:r>
          </w:p>
          <w:p w14:paraId="6D6533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项目处于惠西污水处理厂的服务范围内，项目周边市政污水管网已建设完善并接入惠西污水处理厂，因此，本项目废水可纳入惠西污水处理厂集中处理。</w:t>
            </w:r>
          </w:p>
          <w:p w14:paraId="2D7C9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B.污水纳入</w:t>
            </w:r>
            <w:r>
              <w:rPr>
                <w:rFonts w:hint="eastAsia" w:cs="Times New Roman"/>
                <w:color w:val="000000"/>
                <w:sz w:val="21"/>
                <w:szCs w:val="21"/>
                <w:lang w:val="en-US" w:eastAsia="zh-CN"/>
              </w:rPr>
              <w:t>惠西</w:t>
            </w:r>
            <w:r>
              <w:rPr>
                <w:rFonts w:hint="default" w:ascii="Times New Roman" w:hAnsi="Times New Roman" w:eastAsia="宋体" w:cs="Times New Roman"/>
                <w:color w:val="000000"/>
                <w:sz w:val="21"/>
                <w:szCs w:val="21"/>
              </w:rPr>
              <w:t>污水处理厂的可行性分析</w:t>
            </w:r>
          </w:p>
          <w:p w14:paraId="34F23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惠西</w:t>
            </w:r>
            <w:r>
              <w:rPr>
                <w:rFonts w:hint="default" w:ascii="Times New Roman" w:hAnsi="Times New Roman" w:eastAsia="宋体" w:cs="Times New Roman"/>
                <w:color w:val="000000"/>
                <w:sz w:val="21"/>
                <w:szCs w:val="21"/>
              </w:rPr>
              <w:t>污水处理厂</w:t>
            </w:r>
            <w:r>
              <w:rPr>
                <w:rFonts w:hint="eastAsia" w:cs="Times New Roman"/>
                <w:color w:val="000000"/>
                <w:sz w:val="21"/>
                <w:szCs w:val="21"/>
                <w:lang w:val="en-US" w:eastAsia="zh-CN"/>
              </w:rPr>
              <w:t>近期</w:t>
            </w:r>
            <w:r>
              <w:rPr>
                <w:rFonts w:hint="default" w:ascii="Times New Roman" w:hAnsi="Times New Roman" w:eastAsia="宋体" w:cs="Times New Roman"/>
                <w:color w:val="000000"/>
                <w:sz w:val="21"/>
                <w:szCs w:val="21"/>
              </w:rPr>
              <w:t>处理能力为</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万</w:t>
            </w:r>
            <w:r>
              <w:rPr>
                <w:rFonts w:hint="eastAsia" w:cs="Times New Roman"/>
                <w:color w:val="000000"/>
                <w:sz w:val="21"/>
                <w:szCs w:val="21"/>
                <w:lang w:val="en-US" w:eastAsia="zh-CN"/>
              </w:rPr>
              <w:t>m</w:t>
            </w:r>
            <w:r>
              <w:rPr>
                <w:rFonts w:hint="eastAsia" w:cs="Times New Roman"/>
                <w:color w:val="000000"/>
                <w:sz w:val="21"/>
                <w:szCs w:val="21"/>
                <w:vertAlign w:val="superscript"/>
                <w:lang w:val="en-US" w:eastAsia="zh-CN"/>
              </w:rPr>
              <w:t>3</w:t>
            </w:r>
            <w:r>
              <w:rPr>
                <w:rFonts w:hint="eastAsia" w:cs="Times New Roman"/>
                <w:color w:val="000000"/>
                <w:sz w:val="21"/>
                <w:szCs w:val="21"/>
                <w:lang w:val="en-US" w:eastAsia="zh-CN"/>
              </w:rPr>
              <w:t>/</w:t>
            </w:r>
            <w:r>
              <w:rPr>
                <w:rFonts w:hint="default" w:ascii="Times New Roman" w:hAnsi="Times New Roman" w:eastAsia="宋体" w:cs="Times New Roman"/>
                <w:color w:val="000000"/>
                <w:sz w:val="21"/>
                <w:szCs w:val="21"/>
              </w:rPr>
              <w:t>d，</w:t>
            </w:r>
            <w:r>
              <w:rPr>
                <w:rFonts w:hint="eastAsia" w:cs="Times New Roman"/>
                <w:color w:val="000000"/>
                <w:sz w:val="21"/>
                <w:szCs w:val="21"/>
                <w:lang w:val="en-US" w:eastAsia="zh-CN"/>
              </w:rPr>
              <w:t>远期处理能力为4万m</w:t>
            </w:r>
            <w:r>
              <w:rPr>
                <w:rFonts w:hint="eastAsia" w:cs="Times New Roman"/>
                <w:color w:val="000000"/>
                <w:sz w:val="21"/>
                <w:szCs w:val="21"/>
                <w:vertAlign w:val="superscript"/>
                <w:lang w:val="en-US" w:eastAsia="zh-CN"/>
              </w:rPr>
              <w:t>3</w:t>
            </w:r>
            <w:r>
              <w:rPr>
                <w:rFonts w:hint="eastAsia" w:cs="Times New Roman"/>
                <w:color w:val="000000"/>
                <w:sz w:val="21"/>
                <w:szCs w:val="21"/>
                <w:lang w:val="en-US" w:eastAsia="zh-CN"/>
              </w:rPr>
              <w:t>/</w:t>
            </w:r>
            <w:r>
              <w:rPr>
                <w:rFonts w:hint="default" w:ascii="Times New Roman" w:hAnsi="Times New Roman" w:eastAsia="宋体" w:cs="Times New Roman"/>
                <w:color w:val="000000"/>
                <w:sz w:val="21"/>
                <w:szCs w:val="21"/>
              </w:rPr>
              <w:t>d</w:t>
            </w:r>
            <w:r>
              <w:rPr>
                <w:rFonts w:hint="eastAsia" w:cs="Times New Roman"/>
                <w:color w:val="000000"/>
                <w:sz w:val="21"/>
                <w:szCs w:val="21"/>
                <w:lang w:val="en-US" w:eastAsia="zh-CN"/>
              </w:rPr>
              <w:t>，</w:t>
            </w:r>
            <w:r>
              <w:rPr>
                <w:rFonts w:hint="default" w:ascii="Times New Roman" w:hAnsi="Times New Roman" w:eastAsia="宋体" w:cs="Times New Roman"/>
                <w:color w:val="000000"/>
                <w:sz w:val="21"/>
                <w:szCs w:val="21"/>
              </w:rPr>
              <w:t>目前处理量为</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万</w:t>
            </w:r>
            <w:r>
              <w:rPr>
                <w:rFonts w:hint="eastAsia" w:cs="Times New Roman"/>
                <w:color w:val="000000"/>
                <w:sz w:val="21"/>
                <w:szCs w:val="21"/>
                <w:lang w:val="en-US" w:eastAsia="zh-CN"/>
              </w:rPr>
              <w:t>m</w:t>
            </w:r>
            <w:r>
              <w:rPr>
                <w:rFonts w:hint="eastAsia" w:cs="Times New Roman"/>
                <w:color w:val="000000"/>
                <w:sz w:val="21"/>
                <w:szCs w:val="21"/>
                <w:vertAlign w:val="superscript"/>
                <w:lang w:val="en-US" w:eastAsia="zh-CN"/>
              </w:rPr>
              <w:t>3</w:t>
            </w:r>
            <w:r>
              <w:rPr>
                <w:rFonts w:hint="eastAsia" w:cs="Times New Roman"/>
                <w:color w:val="000000"/>
                <w:sz w:val="21"/>
                <w:szCs w:val="21"/>
                <w:lang w:val="en-US" w:eastAsia="zh-CN"/>
              </w:rPr>
              <w:t>/d</w:t>
            </w:r>
            <w:r>
              <w:rPr>
                <w:rFonts w:hint="default" w:ascii="Times New Roman" w:hAnsi="Times New Roman" w:eastAsia="宋体" w:cs="Times New Roman"/>
                <w:color w:val="000000"/>
                <w:sz w:val="21"/>
                <w:szCs w:val="21"/>
              </w:rPr>
              <w:t>，剩余</w:t>
            </w:r>
            <w:r>
              <w:rPr>
                <w:rFonts w:hint="eastAsia" w:cs="Times New Roman"/>
                <w:color w:val="000000"/>
                <w:sz w:val="21"/>
                <w:szCs w:val="21"/>
                <w:lang w:val="en-US" w:eastAsia="zh-CN"/>
              </w:rPr>
              <w:t>1.5</w:t>
            </w:r>
            <w:r>
              <w:rPr>
                <w:rFonts w:hint="default" w:ascii="Times New Roman" w:hAnsi="Times New Roman" w:eastAsia="宋体" w:cs="Times New Roman"/>
                <w:color w:val="000000"/>
                <w:sz w:val="21"/>
                <w:szCs w:val="21"/>
              </w:rPr>
              <w:t>万</w:t>
            </w:r>
            <w:r>
              <w:rPr>
                <w:rFonts w:hint="eastAsia" w:cs="Times New Roman"/>
                <w:color w:val="000000"/>
                <w:sz w:val="21"/>
                <w:szCs w:val="21"/>
                <w:lang w:val="en-US" w:eastAsia="zh-CN"/>
              </w:rPr>
              <w:t>m</w:t>
            </w:r>
            <w:r>
              <w:rPr>
                <w:rFonts w:hint="eastAsia" w:cs="Times New Roman"/>
                <w:color w:val="000000"/>
                <w:sz w:val="21"/>
                <w:szCs w:val="21"/>
                <w:vertAlign w:val="superscript"/>
                <w:lang w:val="en-US" w:eastAsia="zh-CN"/>
              </w:rPr>
              <w:t>3</w:t>
            </w:r>
            <w:r>
              <w:rPr>
                <w:rFonts w:hint="eastAsia" w:cs="Times New Roman"/>
                <w:color w:val="000000"/>
                <w:sz w:val="21"/>
                <w:szCs w:val="21"/>
                <w:lang w:val="en-US" w:eastAsia="zh-CN"/>
              </w:rPr>
              <w:t>/d</w:t>
            </w:r>
            <w:r>
              <w:rPr>
                <w:rFonts w:hint="default" w:ascii="Times New Roman" w:hAnsi="Times New Roman" w:eastAsia="宋体" w:cs="Times New Roman"/>
                <w:color w:val="000000"/>
                <w:sz w:val="21"/>
                <w:szCs w:val="21"/>
              </w:rPr>
              <w:t>的处理能力，本项目外排废水总量为</w:t>
            </w:r>
            <w:r>
              <w:rPr>
                <w:rFonts w:hint="eastAsia" w:cs="Times New Roman"/>
                <w:color w:val="000000"/>
                <w:sz w:val="21"/>
                <w:szCs w:val="21"/>
                <w:highlight w:val="none"/>
                <w:lang w:val="en-US" w:eastAsia="zh-CN"/>
              </w:rPr>
              <w:t>4054.5</w:t>
            </w:r>
            <w:r>
              <w:rPr>
                <w:rFonts w:hint="default" w:ascii="Times New Roman" w:hAnsi="Times New Roman" w:eastAsia="宋体" w:cs="Times New Roman"/>
                <w:color w:val="000000"/>
                <w:sz w:val="21"/>
                <w:szCs w:val="21"/>
                <w:highlight w:val="none"/>
              </w:rPr>
              <w:t>t/</w:t>
            </w:r>
            <w:r>
              <w:rPr>
                <w:rFonts w:hint="eastAsia" w:cs="Times New Roman"/>
                <w:color w:val="000000"/>
                <w:sz w:val="21"/>
                <w:szCs w:val="21"/>
                <w:highlight w:val="none"/>
                <w:lang w:val="en-US" w:eastAsia="zh-CN"/>
              </w:rPr>
              <w:t>a</w:t>
            </w:r>
            <w:r>
              <w:rPr>
                <w:rFonts w:hint="default" w:ascii="Times New Roman" w:hAnsi="Times New Roman" w:eastAsia="宋体" w:cs="Times New Roman"/>
                <w:color w:val="000000"/>
                <w:sz w:val="21"/>
                <w:szCs w:val="21"/>
                <w:highlight w:val="none"/>
              </w:rPr>
              <w:t>（</w:t>
            </w:r>
            <w:r>
              <w:rPr>
                <w:rFonts w:hint="eastAsia" w:cs="Times New Roman"/>
                <w:color w:val="000000"/>
                <w:sz w:val="21"/>
                <w:szCs w:val="21"/>
                <w:highlight w:val="none"/>
                <w:lang w:val="en-US" w:eastAsia="zh-CN"/>
              </w:rPr>
              <w:t>13.515</w:t>
            </w:r>
            <w:r>
              <w:rPr>
                <w:rFonts w:hint="default" w:ascii="Times New Roman" w:hAnsi="Times New Roman" w:eastAsia="宋体" w:cs="Times New Roman"/>
                <w:color w:val="000000"/>
                <w:sz w:val="21"/>
                <w:szCs w:val="21"/>
                <w:highlight w:val="none"/>
              </w:rPr>
              <w:t>t/</w:t>
            </w:r>
            <w:r>
              <w:rPr>
                <w:rFonts w:hint="eastAsia" w:cs="Times New Roman"/>
                <w:color w:val="000000"/>
                <w:sz w:val="21"/>
                <w:szCs w:val="21"/>
                <w:highlight w:val="none"/>
                <w:lang w:val="en-US" w:eastAsia="zh-CN"/>
              </w:rPr>
              <w:t>d</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rPr>
              <w:t>，仅占剩余处理量的</w:t>
            </w:r>
            <w:r>
              <w:rPr>
                <w:rFonts w:hint="eastAsia" w:cs="Times New Roman"/>
                <w:color w:val="000000"/>
                <w:sz w:val="21"/>
                <w:szCs w:val="21"/>
                <w:lang w:val="en-US" w:eastAsia="zh-CN"/>
              </w:rPr>
              <w:t>0.09</w:t>
            </w:r>
            <w:r>
              <w:rPr>
                <w:rFonts w:hint="default" w:ascii="Times New Roman" w:hAnsi="Times New Roman" w:eastAsia="宋体" w:cs="Times New Roman"/>
                <w:color w:val="000000"/>
                <w:sz w:val="21"/>
                <w:szCs w:val="21"/>
              </w:rPr>
              <w:t>%，不会对</w:t>
            </w:r>
            <w:r>
              <w:rPr>
                <w:rFonts w:hint="eastAsia" w:cs="Times New Roman"/>
                <w:color w:val="000000"/>
                <w:sz w:val="21"/>
                <w:szCs w:val="21"/>
                <w:lang w:val="en-US" w:eastAsia="zh-CN"/>
              </w:rPr>
              <w:t>惠西</w:t>
            </w:r>
            <w:r>
              <w:rPr>
                <w:rFonts w:hint="default" w:ascii="Times New Roman" w:hAnsi="Times New Roman" w:eastAsia="宋体" w:cs="Times New Roman"/>
                <w:color w:val="000000"/>
                <w:sz w:val="21"/>
                <w:szCs w:val="21"/>
              </w:rPr>
              <w:t>污水处理厂的水量及水质造成冲击，因此，</w:t>
            </w:r>
            <w:r>
              <w:rPr>
                <w:rFonts w:hint="eastAsia" w:cs="Times New Roman"/>
                <w:color w:val="000000"/>
                <w:sz w:val="21"/>
                <w:szCs w:val="21"/>
                <w:lang w:val="en-US" w:eastAsia="zh-CN"/>
              </w:rPr>
              <w:t>惠西</w:t>
            </w:r>
            <w:r>
              <w:rPr>
                <w:rFonts w:hint="default" w:ascii="Times New Roman" w:hAnsi="Times New Roman" w:eastAsia="宋体" w:cs="Times New Roman"/>
                <w:color w:val="000000"/>
                <w:sz w:val="21"/>
                <w:szCs w:val="21"/>
              </w:rPr>
              <w:t>污水处理厂有足够能力处理本项目生活污</w:t>
            </w:r>
            <w:r>
              <w:rPr>
                <w:rFonts w:hint="eastAsia" w:cs="Times New Roman"/>
                <w:color w:val="000000"/>
                <w:sz w:val="21"/>
                <w:szCs w:val="21"/>
                <w:lang w:eastAsia="zh-CN"/>
              </w:rPr>
              <w:t>水</w:t>
            </w:r>
            <w:r>
              <w:rPr>
                <w:rFonts w:hint="default" w:ascii="Times New Roman" w:hAnsi="Times New Roman" w:eastAsia="宋体" w:cs="Times New Roman"/>
                <w:color w:val="000000"/>
                <w:sz w:val="21"/>
                <w:szCs w:val="21"/>
              </w:rPr>
              <w:t>。</w:t>
            </w:r>
          </w:p>
          <w:p w14:paraId="731F2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项目生活污水经化粪池预处理</w:t>
            </w:r>
            <w:r>
              <w:rPr>
                <w:rFonts w:hint="eastAsia" w:cs="Times New Roman"/>
                <w:color w:val="000000"/>
                <w:sz w:val="21"/>
                <w:szCs w:val="21"/>
                <w:lang w:val="en-US" w:eastAsia="zh-CN"/>
              </w:rPr>
              <w:t>后，</w:t>
            </w:r>
            <w:r>
              <w:rPr>
                <w:rFonts w:hint="default" w:ascii="Times New Roman" w:hAnsi="Times New Roman" w:cs="Times New Roman"/>
                <w:color w:val="000000"/>
                <w:sz w:val="21"/>
                <w:szCs w:val="21"/>
              </w:rPr>
              <w:t>水质可达到《污水综合排放标准》（GB8978-1996）表4三级标准（其中NH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r>
              <w:rPr>
                <w:rFonts w:hint="eastAsia" w:cs="Times New Roman"/>
                <w:color w:val="000000"/>
                <w:sz w:val="21"/>
                <w:szCs w:val="21"/>
                <w:lang w:eastAsia="zh-CN"/>
              </w:rPr>
              <w:t>、</w:t>
            </w:r>
            <w:r>
              <w:rPr>
                <w:rFonts w:hint="eastAsia" w:cs="Times New Roman"/>
                <w:color w:val="000000"/>
                <w:sz w:val="21"/>
                <w:szCs w:val="21"/>
                <w:lang w:val="en-US" w:eastAsia="zh-CN"/>
              </w:rPr>
              <w:t>TN</w:t>
            </w:r>
            <w:r>
              <w:rPr>
                <w:rFonts w:hint="default" w:ascii="Times New Roman" w:hAnsi="Times New Roman" w:cs="Times New Roman"/>
                <w:color w:val="000000"/>
                <w:sz w:val="21"/>
                <w:szCs w:val="21"/>
              </w:rPr>
              <w:t>指标参考《污水排入城镇下水道水质标准》（GB/T31962-2015）表1中B等级标准</w:t>
            </w:r>
            <w:r>
              <w:rPr>
                <w:rFonts w:hint="eastAsia" w:ascii="宋体" w:hAnsi="宋体" w:eastAsia="宋体" w:cs="宋体"/>
                <w:color w:val="000000"/>
                <w:sz w:val="21"/>
                <w:szCs w:val="21"/>
              </w:rPr>
              <w:t>“</w:t>
            </w:r>
            <w:r>
              <w:rPr>
                <w:rFonts w:hint="default" w:ascii="Times New Roman" w:hAnsi="Times New Roman" w:cs="Times New Roman"/>
                <w:color w:val="000000"/>
                <w:sz w:val="21"/>
                <w:szCs w:val="21"/>
              </w:rPr>
              <w:t>45mg/L</w:t>
            </w:r>
            <w:r>
              <w:rPr>
                <w:rFonts w:hint="eastAsia" w:ascii="宋体" w:hAnsi="宋体" w:eastAsia="宋体" w:cs="宋体"/>
                <w:color w:val="000000"/>
                <w:sz w:val="21"/>
                <w:szCs w:val="21"/>
              </w:rPr>
              <w:t>”</w:t>
            </w:r>
            <w:r>
              <w:rPr>
                <w:rFonts w:hint="eastAsia" w:ascii="宋体" w:hAnsi="宋体" w:cs="宋体"/>
                <w:color w:val="000000"/>
                <w:sz w:val="21"/>
                <w:szCs w:val="21"/>
                <w:lang w:eastAsia="zh-CN"/>
              </w:rPr>
              <w:t>、</w:t>
            </w:r>
            <w:r>
              <w:rPr>
                <w:rFonts w:hint="eastAsia" w:ascii="宋体" w:hAnsi="宋体" w:eastAsia="宋体" w:cs="宋体"/>
                <w:color w:val="000000"/>
                <w:sz w:val="21"/>
                <w:szCs w:val="21"/>
              </w:rPr>
              <w:t>“</w:t>
            </w:r>
            <w:r>
              <w:rPr>
                <w:rFonts w:hint="eastAsia" w:ascii="Times New Roman" w:hAnsi="Times New Roman" w:eastAsia="宋体" w:cs="Times New Roman"/>
                <w:color w:val="000000"/>
                <w:sz w:val="21"/>
                <w:szCs w:val="21"/>
                <w:lang w:val="en-US" w:eastAsia="zh-CN"/>
              </w:rPr>
              <w:t>70</w:t>
            </w:r>
            <w:r>
              <w:rPr>
                <w:rFonts w:hint="default" w:ascii="Times New Roman" w:hAnsi="Times New Roman" w:cs="Times New Roman"/>
                <w:color w:val="000000"/>
                <w:sz w:val="21"/>
                <w:szCs w:val="21"/>
              </w:rPr>
              <w:t>mg/L</w:t>
            </w:r>
            <w:r>
              <w:rPr>
                <w:rFonts w:hint="eastAsia" w:ascii="宋体" w:hAnsi="宋体" w:eastAsia="宋体" w:cs="宋体"/>
                <w:color w:val="000000"/>
                <w:sz w:val="21"/>
                <w:szCs w:val="21"/>
              </w:rPr>
              <w:t>”</w:t>
            </w:r>
            <w:r>
              <w:rPr>
                <w:rFonts w:hint="default" w:ascii="Times New Roman" w:hAnsi="Times New Roman" w:cs="Times New Roman"/>
                <w:color w:val="000000"/>
                <w:sz w:val="21"/>
                <w:szCs w:val="21"/>
              </w:rPr>
              <w:t>），均能满足污水处理厂进水水质标准要求，因此，本项目废水纳入</w:t>
            </w:r>
            <w:r>
              <w:rPr>
                <w:rFonts w:hint="eastAsia" w:cs="Times New Roman"/>
                <w:color w:val="000000"/>
                <w:sz w:val="21"/>
                <w:szCs w:val="21"/>
                <w:lang w:val="en-US" w:eastAsia="zh-CN"/>
              </w:rPr>
              <w:t>惠西</w:t>
            </w:r>
            <w:r>
              <w:rPr>
                <w:rFonts w:hint="default" w:ascii="Times New Roman" w:hAnsi="Times New Roman" w:cs="Times New Roman"/>
                <w:color w:val="000000"/>
                <w:sz w:val="21"/>
                <w:szCs w:val="21"/>
              </w:rPr>
              <w:t>污水处理厂统一处理是可行的。</w:t>
            </w:r>
          </w:p>
          <w:p w14:paraId="4DC95AE7">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default"/>
                <w:color w:val="000000"/>
              </w:rPr>
            </w:pPr>
            <w:r>
              <w:rPr>
                <w:rFonts w:hint="default" w:ascii="Times New Roman" w:hAnsi="Times New Roman" w:cs="Times New Roman"/>
                <w:color w:val="000000"/>
                <w:sz w:val="21"/>
                <w:szCs w:val="21"/>
              </w:rPr>
              <w:t>因此，项目废水排放对</w:t>
            </w:r>
            <w:r>
              <w:rPr>
                <w:rFonts w:hint="eastAsia" w:cs="Times New Roman"/>
                <w:color w:val="000000"/>
                <w:sz w:val="21"/>
                <w:szCs w:val="21"/>
                <w:lang w:val="en-US" w:eastAsia="zh-CN"/>
              </w:rPr>
              <w:t>惠西</w:t>
            </w:r>
            <w:r>
              <w:rPr>
                <w:rFonts w:hint="default" w:ascii="Times New Roman" w:hAnsi="Times New Roman" w:cs="Times New Roman"/>
                <w:color w:val="000000"/>
                <w:sz w:val="21"/>
                <w:szCs w:val="21"/>
              </w:rPr>
              <w:t>污水处理厂影响不大。</w:t>
            </w:r>
          </w:p>
          <w:p w14:paraId="55849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4.1.5废水</w:t>
            </w:r>
            <w:r>
              <w:rPr>
                <w:rFonts w:hint="eastAsia" w:ascii="Times New Roman" w:hAnsi="Times New Roman" w:cs="Times New Roman"/>
                <w:b/>
                <w:bCs/>
                <w:color w:val="000000"/>
                <w:sz w:val="21"/>
                <w:szCs w:val="21"/>
                <w:lang w:val="en-US" w:eastAsia="zh-CN"/>
              </w:rPr>
              <w:t>污染防治措施</w:t>
            </w:r>
            <w:r>
              <w:rPr>
                <w:rFonts w:hint="eastAsia" w:cs="Times New Roman"/>
                <w:b/>
                <w:bCs/>
                <w:color w:val="000000"/>
                <w:sz w:val="21"/>
                <w:szCs w:val="21"/>
                <w:lang w:val="en-US" w:eastAsia="zh-CN"/>
              </w:rPr>
              <w:t>可行性分析</w:t>
            </w:r>
          </w:p>
          <w:p w14:paraId="49784D47">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outlineLvl w:val="9"/>
              <w:rPr>
                <w:rFonts w:hint="default" w:ascii="Times New Roman" w:hAnsi="Times New Roman" w:cs="Times New Roman"/>
                <w:b/>
                <w:bCs/>
                <w:color w:val="000000"/>
                <w:sz w:val="21"/>
                <w:szCs w:val="21"/>
                <w:lang w:val="en-US" w:eastAsia="zh-CN"/>
              </w:rPr>
            </w:pPr>
            <w:r>
              <w:rPr>
                <w:rFonts w:hint="eastAsia" w:cs="Times New Roman"/>
                <w:b/>
                <w:bCs/>
                <w:color w:val="000000"/>
                <w:sz w:val="21"/>
                <w:szCs w:val="21"/>
                <w:lang w:val="en-US" w:eastAsia="zh-CN"/>
              </w:rPr>
              <w:t>（1）生活污水处理设施</w:t>
            </w:r>
          </w:p>
          <w:p w14:paraId="5631F537">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本项目的生活污水排放量为</w:t>
            </w:r>
            <w:r>
              <w:rPr>
                <w:rFonts w:hint="eastAsia"/>
                <w:color w:val="000000"/>
                <w:highlight w:val="none"/>
                <w:lang w:val="en-US" w:eastAsia="zh-CN"/>
              </w:rPr>
              <w:t>13.515</w:t>
            </w:r>
            <w:r>
              <w:rPr>
                <w:rFonts w:hint="default" w:ascii="Times New Roman" w:hAnsi="Times New Roman" w:cs="Times New Roman"/>
                <w:color w:val="000000"/>
                <w:sz w:val="21"/>
                <w:szCs w:val="21"/>
                <w:lang w:val="en-US" w:eastAsia="zh-CN"/>
              </w:rPr>
              <w:t>t/d，本项目生活污</w:t>
            </w:r>
            <w:r>
              <w:rPr>
                <w:rFonts w:hint="eastAsia" w:ascii="Times New Roman" w:hAnsi="Times New Roman" w:cs="Times New Roman"/>
                <w:color w:val="000000"/>
                <w:sz w:val="21"/>
                <w:szCs w:val="21"/>
                <w:lang w:val="en-US" w:eastAsia="zh-CN"/>
              </w:rPr>
              <w:t>水</w:t>
            </w:r>
            <w:r>
              <w:rPr>
                <w:rFonts w:hint="default" w:ascii="Times New Roman" w:hAnsi="Times New Roman" w:cs="Times New Roman"/>
                <w:color w:val="000000"/>
                <w:sz w:val="21"/>
                <w:szCs w:val="21"/>
                <w:lang w:val="en-US" w:eastAsia="zh-CN"/>
              </w:rPr>
              <w:t>经三级化粪池处理后，进入市政管网，最终排入</w:t>
            </w:r>
            <w:r>
              <w:rPr>
                <w:rFonts w:hint="eastAsia" w:cs="Times New Roman"/>
                <w:color w:val="000000"/>
                <w:sz w:val="21"/>
                <w:szCs w:val="21"/>
                <w:lang w:val="en-US" w:eastAsia="zh-CN"/>
              </w:rPr>
              <w:t>惠西</w:t>
            </w:r>
            <w:r>
              <w:rPr>
                <w:rFonts w:hint="default" w:ascii="Times New Roman" w:hAnsi="Times New Roman" w:cs="Times New Roman"/>
                <w:color w:val="000000"/>
                <w:sz w:val="21"/>
                <w:szCs w:val="21"/>
                <w:lang w:val="en-US" w:eastAsia="zh-CN"/>
              </w:rPr>
              <w:t>污水处理厂。</w:t>
            </w:r>
          </w:p>
          <w:p w14:paraId="674402F5">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三级化粪池由相联的三个池子组成，中间由过粪管联通，主要是利用厌氧发酵、中层过粪和寄生虫卵比重大于一般混合液比重而易于沉淀的原理，粪便在池内经过30天以上的发酵分解，中层粪液依次由1池流至3池，以达到沉淀或杀灭粪便中寄生虫卵和肠道致病菌的目的。新鲜粪便由进粪口进入第一池，池内粪便开始发酵分解、因比重不同粪液可自然分为三层，上层为糊状粪皮，下层为块状或颗状粪渣，中层为比较澄清的粪液。在上层粪皮和下层粪渣中含细菌和寄生虫卵最多，中层含虫卵最少，初步发酵的中层粪液经过粪管溢流至第二池，而将大部分未经充分发酵的粪皮和粪渣阻留在第一池内继续发酵。流入第二池的粪液进一步发酵分解，虫卵继续下沉，病原体逐渐死亡，粪液得到进一步无害化，产生的粪皮和粪厚度比第一池显著减少。流入第三池的粪液一般已经腐熟，其中病菌和寄生虫卵已基本杀灭。第三池功能主要起储存已基本无害化的粪液作用</w:t>
            </w:r>
            <w:r>
              <w:rPr>
                <w:rFonts w:hint="eastAsia" w:cs="Times New Roman"/>
                <w:color w:val="000000"/>
                <w:sz w:val="21"/>
                <w:szCs w:val="21"/>
                <w:lang w:val="en-US" w:eastAsia="zh-CN"/>
              </w:rPr>
              <w:t>。</w:t>
            </w:r>
          </w:p>
          <w:p w14:paraId="2B4FB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rPr>
            </w:pPr>
            <w:r>
              <w:rPr>
                <w:rFonts w:hint="default" w:ascii="Times New Roman" w:hAnsi="Times New Roman" w:eastAsia="宋体" w:cs="Times New Roman"/>
                <w:b/>
                <w:bCs/>
                <w:color w:val="000000"/>
              </w:rPr>
              <w:t>表</w:t>
            </w:r>
            <w:r>
              <w:rPr>
                <w:rFonts w:hint="eastAsia" w:ascii="Times New Roman" w:hAnsi="Times New Roman" w:eastAsia="宋体" w:cs="Times New Roman"/>
                <w:b/>
                <w:bCs/>
                <w:color w:val="000000"/>
                <w:lang w:val="en-US" w:eastAsia="zh-CN"/>
              </w:rPr>
              <w:t>4-</w:t>
            </w:r>
            <w:r>
              <w:rPr>
                <w:rFonts w:hint="eastAsia" w:cs="Times New Roman"/>
                <w:b/>
                <w:bCs/>
                <w:color w:val="000000"/>
                <w:lang w:val="en-US" w:eastAsia="zh-CN"/>
              </w:rPr>
              <w:t>5</w:t>
            </w:r>
            <w:r>
              <w:rPr>
                <w:rFonts w:hint="default" w:ascii="Times New Roman" w:hAnsi="Times New Roman" w:eastAsia="宋体" w:cs="Times New Roman"/>
                <w:b/>
                <w:bCs/>
                <w:color w:val="000000"/>
              </w:rPr>
              <w:t xml:space="preserve"> </w:t>
            </w:r>
            <w:r>
              <w:rPr>
                <w:rFonts w:hint="eastAsia" w:cs="Times New Roman"/>
                <w:b/>
                <w:bCs/>
                <w:color w:val="000000"/>
                <w:lang w:val="en-US" w:eastAsia="zh-CN"/>
              </w:rPr>
              <w:t xml:space="preserve"> </w:t>
            </w:r>
            <w:r>
              <w:rPr>
                <w:rFonts w:hint="default" w:ascii="Times New Roman" w:hAnsi="Times New Roman" w:eastAsia="宋体" w:cs="Times New Roman"/>
                <w:b/>
                <w:bCs/>
                <w:color w:val="000000"/>
              </w:rPr>
              <w:t>项目化粪池污水处理设施处理效果</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77"/>
              <w:gridCol w:w="927"/>
              <w:gridCol w:w="1333"/>
              <w:gridCol w:w="1400"/>
              <w:gridCol w:w="1282"/>
              <w:gridCol w:w="1429"/>
              <w:gridCol w:w="1428"/>
            </w:tblGrid>
            <w:tr w14:paraId="58DFC7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96" w:type="dxa"/>
                  <w:gridSpan w:val="2"/>
                  <w:tcBorders>
                    <w:top w:val="single" w:color="auto" w:sz="12" w:space="0"/>
                    <w:left w:val="nil"/>
                    <w:bottom w:val="single" w:color="auto" w:sz="4" w:space="0"/>
                    <w:right w:val="single" w:color="auto" w:sz="4" w:space="0"/>
                  </w:tcBorders>
                  <w:noWrap w:val="0"/>
                  <w:vAlign w:val="center"/>
                </w:tcPr>
                <w:p w14:paraId="05B20335">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阶段</w:t>
                  </w:r>
                </w:p>
              </w:tc>
              <w:tc>
                <w:tcPr>
                  <w:tcW w:w="1611" w:type="dxa"/>
                  <w:tcBorders>
                    <w:top w:val="single" w:color="auto" w:sz="12" w:space="0"/>
                    <w:left w:val="single" w:color="auto" w:sz="4" w:space="0"/>
                    <w:bottom w:val="single" w:color="auto" w:sz="4" w:space="0"/>
                    <w:right w:val="single" w:color="auto" w:sz="4" w:space="0"/>
                  </w:tcBorders>
                  <w:noWrap w:val="0"/>
                  <w:vAlign w:val="center"/>
                </w:tcPr>
                <w:p w14:paraId="0C1C2A30">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COD(mg/L)</w:t>
                  </w:r>
                </w:p>
              </w:tc>
              <w:tc>
                <w:tcPr>
                  <w:tcW w:w="1693" w:type="dxa"/>
                  <w:tcBorders>
                    <w:top w:val="single" w:color="auto" w:sz="12" w:space="0"/>
                    <w:left w:val="single" w:color="auto" w:sz="4" w:space="0"/>
                    <w:bottom w:val="single" w:color="auto" w:sz="4" w:space="0"/>
                    <w:right w:val="single" w:color="auto" w:sz="4" w:space="0"/>
                  </w:tcBorders>
                  <w:noWrap w:val="0"/>
                  <w:vAlign w:val="center"/>
                </w:tcPr>
                <w:p w14:paraId="1944065F">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BOD</w:t>
                  </w:r>
                  <w:r>
                    <w:rPr>
                      <w:rFonts w:hint="default" w:ascii="Times New Roman" w:hAnsi="Times New Roman" w:eastAsia="宋体" w:cs="Times New Roman"/>
                      <w:b/>
                      <w:bCs/>
                      <w:color w:val="000000"/>
                      <w:sz w:val="21"/>
                      <w:szCs w:val="21"/>
                      <w:vertAlign w:val="subscript"/>
                      <w:lang w:val="en-US" w:eastAsia="zh-CN"/>
                    </w:rPr>
                    <w:t>5</w:t>
                  </w:r>
                  <w:r>
                    <w:rPr>
                      <w:rFonts w:hint="default" w:ascii="Times New Roman" w:hAnsi="Times New Roman" w:eastAsia="宋体" w:cs="Times New Roman"/>
                      <w:b/>
                      <w:bCs/>
                      <w:color w:val="000000"/>
                      <w:sz w:val="21"/>
                      <w:szCs w:val="21"/>
                      <w:lang w:val="en-US" w:eastAsia="zh-CN"/>
                    </w:rPr>
                    <w:t>(mg/L)</w:t>
                  </w:r>
                </w:p>
              </w:tc>
              <w:tc>
                <w:tcPr>
                  <w:tcW w:w="1549" w:type="dxa"/>
                  <w:tcBorders>
                    <w:top w:val="single" w:color="auto" w:sz="12" w:space="0"/>
                    <w:left w:val="single" w:color="auto" w:sz="4" w:space="0"/>
                    <w:bottom w:val="single" w:color="auto" w:sz="4" w:space="0"/>
                    <w:right w:val="single" w:color="auto" w:sz="4" w:space="0"/>
                  </w:tcBorders>
                  <w:noWrap w:val="0"/>
                  <w:vAlign w:val="center"/>
                </w:tcPr>
                <w:p w14:paraId="23BFD173">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SS(mg/L)</w:t>
                  </w:r>
                </w:p>
              </w:tc>
              <w:tc>
                <w:tcPr>
                  <w:tcW w:w="1727" w:type="dxa"/>
                  <w:tcBorders>
                    <w:top w:val="single" w:color="auto" w:sz="12" w:space="0"/>
                    <w:left w:val="single" w:color="auto" w:sz="4" w:space="0"/>
                    <w:bottom w:val="single" w:color="auto" w:sz="4" w:space="0"/>
                    <w:right w:val="nil"/>
                  </w:tcBorders>
                  <w:noWrap w:val="0"/>
                  <w:vAlign w:val="center"/>
                </w:tcPr>
                <w:p w14:paraId="3DE4D45F">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NH</w:t>
                  </w:r>
                  <w:r>
                    <w:rPr>
                      <w:rFonts w:hint="default" w:ascii="Times New Roman" w:hAnsi="Times New Roman" w:eastAsia="宋体" w:cs="Times New Roman"/>
                      <w:b/>
                      <w:bCs/>
                      <w:color w:val="000000"/>
                      <w:sz w:val="21"/>
                      <w:szCs w:val="21"/>
                      <w:vertAlign w:val="subscript"/>
                      <w:lang w:val="en-US" w:eastAsia="zh-CN"/>
                    </w:rPr>
                    <w:t>3</w:t>
                  </w:r>
                  <w:r>
                    <w:rPr>
                      <w:rFonts w:hint="default" w:ascii="Times New Roman" w:hAnsi="Times New Roman" w:eastAsia="宋体" w:cs="Times New Roman"/>
                      <w:b/>
                      <w:bCs/>
                      <w:color w:val="000000"/>
                      <w:sz w:val="21"/>
                      <w:szCs w:val="21"/>
                      <w:lang w:val="en-US" w:eastAsia="zh-CN"/>
                    </w:rPr>
                    <w:t>-N(mg/L)</w:t>
                  </w:r>
                </w:p>
              </w:tc>
              <w:tc>
                <w:tcPr>
                  <w:tcW w:w="1727" w:type="dxa"/>
                  <w:tcBorders>
                    <w:top w:val="single" w:color="auto" w:sz="12" w:space="0"/>
                    <w:left w:val="single" w:color="auto" w:sz="4" w:space="0"/>
                    <w:bottom w:val="single" w:color="auto" w:sz="4" w:space="0"/>
                    <w:right w:val="nil"/>
                  </w:tcBorders>
                  <w:noWrap w:val="0"/>
                  <w:vAlign w:val="center"/>
                </w:tcPr>
                <w:p w14:paraId="7EDCDDA7">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T</w:t>
                  </w:r>
                  <w:r>
                    <w:rPr>
                      <w:rFonts w:hint="default" w:ascii="Times New Roman" w:hAnsi="Times New Roman" w:eastAsia="宋体" w:cs="Times New Roman"/>
                      <w:b/>
                      <w:bCs/>
                      <w:color w:val="000000"/>
                      <w:sz w:val="21"/>
                      <w:szCs w:val="21"/>
                      <w:lang w:val="en-US" w:eastAsia="zh-CN"/>
                    </w:rPr>
                    <w:t>N(mg/L)</w:t>
                  </w:r>
                </w:p>
              </w:tc>
            </w:tr>
            <w:tr w14:paraId="706ACF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7" w:type="dxa"/>
                  <w:vMerge w:val="restart"/>
                  <w:tcBorders>
                    <w:top w:val="single" w:color="auto" w:sz="4" w:space="0"/>
                    <w:left w:val="nil"/>
                    <w:bottom w:val="single" w:color="auto" w:sz="4" w:space="0"/>
                    <w:right w:val="single" w:color="auto" w:sz="4" w:space="0"/>
                  </w:tcBorders>
                  <w:noWrap w:val="0"/>
                  <w:vAlign w:val="center"/>
                </w:tcPr>
                <w:p w14:paraId="2E3BD04C">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生活污水</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1DA08E27">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进水</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5A46CB9D">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340</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DEB76F1">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177</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1D05B67">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260</w:t>
                  </w:r>
                </w:p>
              </w:tc>
              <w:tc>
                <w:tcPr>
                  <w:tcW w:w="1727" w:type="dxa"/>
                  <w:tcBorders>
                    <w:top w:val="single" w:color="auto" w:sz="4" w:space="0"/>
                    <w:left w:val="single" w:color="auto" w:sz="4" w:space="0"/>
                    <w:bottom w:val="single" w:color="auto" w:sz="4" w:space="0"/>
                    <w:right w:val="nil"/>
                  </w:tcBorders>
                  <w:noWrap w:val="0"/>
                  <w:vAlign w:val="center"/>
                </w:tcPr>
                <w:p w14:paraId="348C8760">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32.6</w:t>
                  </w:r>
                </w:p>
              </w:tc>
              <w:tc>
                <w:tcPr>
                  <w:tcW w:w="1727" w:type="dxa"/>
                  <w:tcBorders>
                    <w:top w:val="single" w:color="auto" w:sz="4" w:space="0"/>
                    <w:left w:val="single" w:color="auto" w:sz="4" w:space="0"/>
                    <w:bottom w:val="single" w:color="auto" w:sz="4" w:space="0"/>
                    <w:right w:val="nil"/>
                  </w:tcBorders>
                  <w:noWrap w:val="0"/>
                  <w:vAlign w:val="center"/>
                </w:tcPr>
                <w:p w14:paraId="76DDB0C0">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44.8</w:t>
                  </w:r>
                </w:p>
              </w:tc>
            </w:tr>
            <w:tr w14:paraId="1C359D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7" w:type="dxa"/>
                  <w:vMerge w:val="continue"/>
                  <w:tcBorders>
                    <w:top w:val="single" w:color="auto" w:sz="4" w:space="0"/>
                    <w:left w:val="nil"/>
                    <w:bottom w:val="single" w:color="auto" w:sz="4" w:space="0"/>
                    <w:right w:val="single" w:color="auto" w:sz="4" w:space="0"/>
                  </w:tcBorders>
                  <w:noWrap w:val="0"/>
                  <w:vAlign w:val="center"/>
                </w:tcPr>
                <w:p w14:paraId="626C3242">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14:paraId="44E710F2">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出水</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64580E46">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122.4</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D0402F6">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137</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263DCBE">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104</w:t>
                  </w:r>
                </w:p>
              </w:tc>
              <w:tc>
                <w:tcPr>
                  <w:tcW w:w="1727" w:type="dxa"/>
                  <w:tcBorders>
                    <w:top w:val="single" w:color="auto" w:sz="4" w:space="0"/>
                    <w:left w:val="single" w:color="auto" w:sz="4" w:space="0"/>
                    <w:bottom w:val="single" w:color="auto" w:sz="4" w:space="0"/>
                    <w:right w:val="nil"/>
                  </w:tcBorders>
                  <w:noWrap w:val="0"/>
                  <w:vAlign w:val="center"/>
                </w:tcPr>
                <w:p w14:paraId="4DF0BB3A">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15.3</w:t>
                  </w:r>
                </w:p>
              </w:tc>
              <w:tc>
                <w:tcPr>
                  <w:tcW w:w="1727" w:type="dxa"/>
                  <w:tcBorders>
                    <w:top w:val="single" w:color="auto" w:sz="4" w:space="0"/>
                    <w:left w:val="single" w:color="auto" w:sz="4" w:space="0"/>
                    <w:bottom w:val="single" w:color="auto" w:sz="4" w:space="0"/>
                    <w:right w:val="nil"/>
                  </w:tcBorders>
                  <w:noWrap w:val="0"/>
                  <w:vAlign w:val="center"/>
                </w:tcPr>
                <w:p w14:paraId="356530CF">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24.8</w:t>
                  </w:r>
                </w:p>
              </w:tc>
            </w:tr>
            <w:tr w14:paraId="3D43BA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96" w:type="dxa"/>
                  <w:gridSpan w:val="2"/>
                  <w:tcBorders>
                    <w:top w:val="single" w:color="auto" w:sz="4" w:space="0"/>
                    <w:left w:val="nil"/>
                    <w:bottom w:val="single" w:color="auto" w:sz="4" w:space="0"/>
                    <w:right w:val="single" w:color="auto" w:sz="4" w:space="0"/>
                  </w:tcBorders>
                  <w:noWrap w:val="0"/>
                  <w:vAlign w:val="center"/>
                </w:tcPr>
                <w:p w14:paraId="2FB5B8D7">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去除率</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031A5C18">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64</w:t>
                  </w:r>
                  <w:r>
                    <w:rPr>
                      <w:rFonts w:hint="default" w:ascii="Times New Roman" w:hAnsi="Times New Roman" w:eastAsia="宋体" w:cs="Times New Roman"/>
                      <w:color w:val="000000"/>
                      <w:sz w:val="21"/>
                      <w:szCs w:val="21"/>
                      <w:lang w:val="en-US" w:eastAsia="zh-CN"/>
                    </w:rPr>
                    <w:t>%</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30A8C1AE">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22.6</w:t>
                  </w:r>
                  <w:r>
                    <w:rPr>
                      <w:rFonts w:hint="default" w:ascii="Times New Roman" w:hAnsi="Times New Roman" w:eastAsia="宋体" w:cs="Times New Roman"/>
                      <w:color w:val="000000"/>
                      <w:sz w:val="21"/>
                      <w:szCs w:val="21"/>
                      <w:lang w:val="en-US" w:eastAsia="zh-CN"/>
                    </w:rPr>
                    <w:t>%</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2B0E422">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60</w:t>
                  </w:r>
                  <w:r>
                    <w:rPr>
                      <w:rFonts w:hint="default" w:ascii="Times New Roman" w:hAnsi="Times New Roman" w:eastAsia="宋体" w:cs="Times New Roman"/>
                      <w:color w:val="000000"/>
                      <w:sz w:val="21"/>
                      <w:szCs w:val="21"/>
                      <w:lang w:val="en-US" w:eastAsia="zh-CN"/>
                    </w:rPr>
                    <w:t>%</w:t>
                  </w:r>
                </w:p>
              </w:tc>
              <w:tc>
                <w:tcPr>
                  <w:tcW w:w="1727" w:type="dxa"/>
                  <w:tcBorders>
                    <w:top w:val="single" w:color="auto" w:sz="4" w:space="0"/>
                    <w:left w:val="single" w:color="auto" w:sz="4" w:space="0"/>
                    <w:bottom w:val="single" w:color="auto" w:sz="4" w:space="0"/>
                    <w:right w:val="nil"/>
                  </w:tcBorders>
                  <w:noWrap w:val="0"/>
                  <w:vAlign w:val="center"/>
                </w:tcPr>
                <w:p w14:paraId="2709685F">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53</w:t>
                  </w:r>
                  <w:r>
                    <w:rPr>
                      <w:rFonts w:hint="default" w:ascii="Times New Roman" w:hAnsi="Times New Roman" w:eastAsia="宋体" w:cs="Times New Roman"/>
                      <w:color w:val="000000"/>
                      <w:sz w:val="21"/>
                      <w:szCs w:val="21"/>
                      <w:lang w:val="en-US" w:eastAsia="zh-CN"/>
                    </w:rPr>
                    <w:t>%</w:t>
                  </w:r>
                </w:p>
              </w:tc>
              <w:tc>
                <w:tcPr>
                  <w:tcW w:w="1727" w:type="dxa"/>
                  <w:tcBorders>
                    <w:top w:val="single" w:color="auto" w:sz="4" w:space="0"/>
                    <w:left w:val="single" w:color="auto" w:sz="4" w:space="0"/>
                    <w:bottom w:val="single" w:color="auto" w:sz="4" w:space="0"/>
                    <w:right w:val="nil"/>
                  </w:tcBorders>
                  <w:noWrap w:val="0"/>
                  <w:vAlign w:val="center"/>
                </w:tcPr>
                <w:p w14:paraId="064C418C">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46%</w:t>
                  </w:r>
                </w:p>
              </w:tc>
            </w:tr>
            <w:tr w14:paraId="059744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96" w:type="dxa"/>
                  <w:gridSpan w:val="2"/>
                  <w:tcBorders>
                    <w:top w:val="single" w:color="auto" w:sz="4" w:space="0"/>
                    <w:left w:val="nil"/>
                    <w:bottom w:val="single" w:color="auto" w:sz="12" w:space="0"/>
                    <w:right w:val="single" w:color="auto" w:sz="4" w:space="0"/>
                  </w:tcBorders>
                  <w:noWrap w:val="0"/>
                  <w:vAlign w:val="center"/>
                </w:tcPr>
                <w:p w14:paraId="6B814A19">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排放标准</w:t>
                  </w:r>
                </w:p>
              </w:tc>
              <w:tc>
                <w:tcPr>
                  <w:tcW w:w="1611" w:type="dxa"/>
                  <w:tcBorders>
                    <w:top w:val="single" w:color="auto" w:sz="4" w:space="0"/>
                    <w:left w:val="single" w:color="auto" w:sz="4" w:space="0"/>
                    <w:bottom w:val="single" w:color="auto" w:sz="12" w:space="0"/>
                    <w:right w:val="single" w:color="auto" w:sz="4" w:space="0"/>
                  </w:tcBorders>
                  <w:noWrap w:val="0"/>
                  <w:vAlign w:val="center"/>
                </w:tcPr>
                <w:p w14:paraId="69F860A9">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500</w:t>
                  </w:r>
                </w:p>
              </w:tc>
              <w:tc>
                <w:tcPr>
                  <w:tcW w:w="1693" w:type="dxa"/>
                  <w:tcBorders>
                    <w:top w:val="single" w:color="auto" w:sz="4" w:space="0"/>
                    <w:left w:val="single" w:color="auto" w:sz="4" w:space="0"/>
                    <w:bottom w:val="single" w:color="auto" w:sz="12" w:space="0"/>
                    <w:right w:val="single" w:color="auto" w:sz="4" w:space="0"/>
                  </w:tcBorders>
                  <w:noWrap w:val="0"/>
                  <w:vAlign w:val="center"/>
                </w:tcPr>
                <w:p w14:paraId="3B39E18A">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300</w:t>
                  </w:r>
                </w:p>
              </w:tc>
              <w:tc>
                <w:tcPr>
                  <w:tcW w:w="1549" w:type="dxa"/>
                  <w:tcBorders>
                    <w:top w:val="single" w:color="auto" w:sz="4" w:space="0"/>
                    <w:left w:val="single" w:color="auto" w:sz="4" w:space="0"/>
                    <w:bottom w:val="single" w:color="auto" w:sz="12" w:space="0"/>
                    <w:right w:val="single" w:color="auto" w:sz="4" w:space="0"/>
                  </w:tcBorders>
                  <w:noWrap w:val="0"/>
                  <w:vAlign w:val="center"/>
                </w:tcPr>
                <w:p w14:paraId="5BC10A62">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400</w:t>
                  </w:r>
                </w:p>
              </w:tc>
              <w:tc>
                <w:tcPr>
                  <w:tcW w:w="1727" w:type="dxa"/>
                  <w:tcBorders>
                    <w:top w:val="single" w:color="auto" w:sz="4" w:space="0"/>
                    <w:left w:val="single" w:color="auto" w:sz="4" w:space="0"/>
                    <w:bottom w:val="single" w:color="auto" w:sz="12" w:space="0"/>
                    <w:right w:val="nil"/>
                  </w:tcBorders>
                  <w:noWrap w:val="0"/>
                  <w:vAlign w:val="center"/>
                </w:tcPr>
                <w:p w14:paraId="1D511394">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45</w:t>
                  </w:r>
                </w:p>
              </w:tc>
              <w:tc>
                <w:tcPr>
                  <w:tcW w:w="1727" w:type="dxa"/>
                  <w:tcBorders>
                    <w:top w:val="single" w:color="auto" w:sz="4" w:space="0"/>
                    <w:left w:val="single" w:color="auto" w:sz="4" w:space="0"/>
                    <w:bottom w:val="single" w:color="auto" w:sz="12" w:space="0"/>
                    <w:right w:val="nil"/>
                  </w:tcBorders>
                  <w:noWrap w:val="0"/>
                  <w:vAlign w:val="center"/>
                </w:tcPr>
                <w:p w14:paraId="602202AC">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70</w:t>
                  </w:r>
                </w:p>
              </w:tc>
            </w:tr>
          </w:tbl>
          <w:p w14:paraId="2CA97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GB" w:eastAsia="zh-CN"/>
              </w:rPr>
              <w:t>生活污水经化粪池处理后水质符合《污水综合排放标准》（GB8978-1996）表</w:t>
            </w:r>
            <w:r>
              <w:rPr>
                <w:rFonts w:hint="default" w:ascii="Times New Roman" w:hAnsi="Times New Roman" w:cs="Times New Roman"/>
                <w:color w:val="000000"/>
                <w:sz w:val="21"/>
                <w:szCs w:val="21"/>
                <w:lang w:val="en-US" w:eastAsia="zh-CN"/>
              </w:rPr>
              <w:t>4</w:t>
            </w:r>
            <w:r>
              <w:rPr>
                <w:rFonts w:hint="default" w:ascii="Times New Roman" w:hAnsi="Times New Roman" w:cs="Times New Roman"/>
                <w:color w:val="000000"/>
                <w:sz w:val="21"/>
                <w:szCs w:val="21"/>
                <w:lang w:val="en-GB" w:eastAsia="zh-CN"/>
              </w:rPr>
              <w:t>三级标准（其中NH</w:t>
            </w:r>
            <w:r>
              <w:rPr>
                <w:rFonts w:hint="default" w:ascii="Times New Roman" w:hAnsi="Times New Roman" w:cs="Times New Roman"/>
                <w:color w:val="000000"/>
                <w:sz w:val="21"/>
                <w:szCs w:val="21"/>
                <w:vertAlign w:val="subscript"/>
                <w:lang w:val="en-GB" w:eastAsia="zh-CN"/>
              </w:rPr>
              <w:t>3</w:t>
            </w:r>
            <w:r>
              <w:rPr>
                <w:rFonts w:hint="default" w:ascii="Times New Roman" w:hAnsi="Times New Roman" w:cs="Times New Roman"/>
                <w:color w:val="000000"/>
                <w:sz w:val="21"/>
                <w:szCs w:val="21"/>
                <w:lang w:val="en-GB" w:eastAsia="zh-CN"/>
              </w:rPr>
              <w:t>-N</w:t>
            </w:r>
            <w:r>
              <w:rPr>
                <w:rFonts w:hint="eastAsia" w:cs="Times New Roman"/>
                <w:color w:val="000000"/>
                <w:sz w:val="21"/>
                <w:szCs w:val="21"/>
                <w:lang w:val="en-GB" w:eastAsia="zh-CN"/>
              </w:rPr>
              <w:t>、</w:t>
            </w:r>
            <w:r>
              <w:rPr>
                <w:rFonts w:hint="eastAsia" w:cs="Times New Roman"/>
                <w:color w:val="000000"/>
                <w:sz w:val="21"/>
                <w:szCs w:val="21"/>
                <w:lang w:val="en-US" w:eastAsia="zh-CN"/>
              </w:rPr>
              <w:t>TN</w:t>
            </w:r>
            <w:r>
              <w:rPr>
                <w:rFonts w:hint="default" w:ascii="Times New Roman" w:hAnsi="Times New Roman" w:cs="Times New Roman"/>
                <w:color w:val="000000"/>
                <w:sz w:val="21"/>
                <w:szCs w:val="21"/>
                <w:lang w:val="en-GB" w:eastAsia="zh-CN"/>
              </w:rPr>
              <w:t>指标参考《污水排入城镇下水道水质标准》（GB/T31962-2015）表</w:t>
            </w:r>
            <w:r>
              <w:rPr>
                <w:rFonts w:hint="default"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lang w:val="en-GB" w:eastAsia="zh-CN"/>
              </w:rPr>
              <w:t>中B等级标准）</w:t>
            </w:r>
            <w:r>
              <w:rPr>
                <w:rFonts w:hint="default" w:ascii="Times New Roman" w:hAnsi="Times New Roman" w:cs="Times New Roman"/>
                <w:color w:val="000000"/>
                <w:sz w:val="21"/>
                <w:szCs w:val="21"/>
                <w:lang w:val="en-US" w:eastAsia="zh-CN"/>
              </w:rPr>
              <w:t>，能满足污水处理厂进水水质要求。因此，项目</w:t>
            </w:r>
            <w:r>
              <w:rPr>
                <w:rFonts w:hint="eastAsia" w:cs="Times New Roman"/>
                <w:color w:val="000000"/>
                <w:sz w:val="21"/>
                <w:szCs w:val="21"/>
                <w:lang w:val="en-US" w:eastAsia="zh-CN"/>
              </w:rPr>
              <w:t>生活</w:t>
            </w:r>
            <w:r>
              <w:rPr>
                <w:rFonts w:hint="default" w:ascii="Times New Roman" w:hAnsi="Times New Roman" w:cs="Times New Roman"/>
                <w:color w:val="000000"/>
                <w:sz w:val="21"/>
                <w:szCs w:val="21"/>
                <w:lang w:val="en-US" w:eastAsia="zh-CN"/>
              </w:rPr>
              <w:t>废水经处理达标后排放，对水环境保护目标的影响较小。</w:t>
            </w:r>
          </w:p>
          <w:p w14:paraId="2CDBF8E6">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default"/>
                <w:color w:val="000000"/>
              </w:rPr>
            </w:pPr>
            <w:r>
              <w:rPr>
                <w:rFonts w:hint="default"/>
                <w:color w:val="000000"/>
              </w:rPr>
              <w:t>采取上述措施后，项目废水能达标排放，因此措施可行。</w:t>
            </w:r>
          </w:p>
          <w:p w14:paraId="675E1A7E">
            <w:pPr>
              <w:keepNext/>
              <w:keepLines/>
              <w:widowControl w:val="0"/>
              <w:suppressLineNumbers w:val="0"/>
              <w:bidi w:val="0"/>
              <w:spacing w:before="0" w:beforeLines="0" w:beforeAutospacing="0" w:after="0" w:afterLines="0" w:afterAutospacing="0" w:line="360" w:lineRule="auto"/>
              <w:ind w:left="0" w:right="0"/>
              <w:jc w:val="both"/>
              <w:outlineLvl w:val="2"/>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4.1.</w:t>
            </w:r>
            <w:r>
              <w:rPr>
                <w:rFonts w:hint="eastAsia" w:cs="Times New Roman"/>
                <w:b/>
                <w:bCs/>
                <w:color w:val="000000"/>
                <w:kern w:val="2"/>
                <w:sz w:val="21"/>
                <w:szCs w:val="21"/>
                <w:lang w:val="en-US" w:eastAsia="zh-CN" w:bidi="ar-SA"/>
              </w:rPr>
              <w:t>6</w:t>
            </w:r>
            <w:r>
              <w:rPr>
                <w:rFonts w:hint="eastAsia" w:ascii="Times New Roman" w:hAnsi="Times New Roman" w:eastAsia="宋体" w:cs="Times New Roman"/>
                <w:b/>
                <w:bCs/>
                <w:color w:val="000000"/>
                <w:kern w:val="2"/>
                <w:sz w:val="21"/>
                <w:szCs w:val="21"/>
                <w:lang w:val="en-US" w:eastAsia="zh-CN" w:bidi="ar-SA"/>
              </w:rPr>
              <w:t>废水达标分析</w:t>
            </w:r>
          </w:p>
          <w:p w14:paraId="5C0E3C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20" w:firstLineChars="200"/>
              <w:jc w:val="both"/>
              <w:textAlignment w:val="auto"/>
              <w:rPr>
                <w:rFonts w:hint="default" w:ascii="Times New Roman" w:hAnsi="Times New Roman" w:eastAsia="宋体" w:cs="Times New Roman"/>
                <w:b w:val="0"/>
                <w:i w:val="0"/>
                <w:caps w:val="0"/>
                <w:color w:val="000000"/>
                <w:spacing w:val="0"/>
                <w:kern w:val="0"/>
                <w:sz w:val="21"/>
                <w:szCs w:val="21"/>
                <w:lang w:val="en-US" w:eastAsia="zh-CN" w:bidi="ar"/>
              </w:rPr>
            </w:pPr>
            <w:r>
              <w:rPr>
                <w:rFonts w:hint="default" w:ascii="Times New Roman" w:hAnsi="Times New Roman" w:eastAsia="宋体" w:cs="Times New Roman"/>
                <w:bCs/>
                <w:color w:val="000000"/>
                <w:sz w:val="21"/>
                <w:szCs w:val="21"/>
                <w:lang w:val="en-US" w:eastAsia="zh-CN"/>
              </w:rPr>
              <w:t>根据</w:t>
            </w:r>
            <w:r>
              <w:rPr>
                <w:rFonts w:hint="default" w:ascii="Times New Roman" w:hAnsi="Times New Roman" w:eastAsia="宋体" w:cs="Times New Roman"/>
                <w:b/>
                <w:bCs w:val="0"/>
                <w:color w:val="000000"/>
                <w:sz w:val="21"/>
                <w:szCs w:val="21"/>
                <w:lang w:val="en-US" w:eastAsia="zh-CN"/>
              </w:rPr>
              <w:t>表</w:t>
            </w:r>
            <w:r>
              <w:rPr>
                <w:rFonts w:hint="default" w:ascii="Times New Roman" w:hAnsi="Times New Roman" w:cs="Times New Roman"/>
                <w:b/>
                <w:bCs w:val="0"/>
                <w:color w:val="000000"/>
                <w:sz w:val="21"/>
                <w:szCs w:val="21"/>
                <w:lang w:val="en-US" w:eastAsia="zh-CN"/>
              </w:rPr>
              <w:t>4</w:t>
            </w:r>
            <w:r>
              <w:rPr>
                <w:rFonts w:hint="default" w:ascii="Times New Roman" w:hAnsi="Times New Roman" w:eastAsia="宋体" w:cs="Times New Roman"/>
                <w:b/>
                <w:bCs w:val="0"/>
                <w:color w:val="000000"/>
                <w:sz w:val="21"/>
                <w:szCs w:val="21"/>
                <w:lang w:val="en-US" w:eastAsia="zh-CN"/>
              </w:rPr>
              <w:t>-</w:t>
            </w:r>
            <w:r>
              <w:rPr>
                <w:rFonts w:hint="eastAsia" w:cs="Times New Roman"/>
                <w:b/>
                <w:bCs w:val="0"/>
                <w:color w:val="000000"/>
                <w:sz w:val="21"/>
                <w:szCs w:val="21"/>
                <w:lang w:val="en-US" w:eastAsia="zh-CN"/>
              </w:rPr>
              <w:t>1</w:t>
            </w:r>
            <w:r>
              <w:rPr>
                <w:rFonts w:hint="default" w:ascii="Times New Roman" w:hAnsi="Times New Roman" w:eastAsia="宋体" w:cs="Times New Roman"/>
                <w:bCs/>
                <w:color w:val="000000"/>
                <w:sz w:val="21"/>
                <w:szCs w:val="21"/>
                <w:lang w:val="en-US" w:eastAsia="zh-CN"/>
              </w:rPr>
              <w:t>可知，</w:t>
            </w:r>
            <w:r>
              <w:rPr>
                <w:rFonts w:hint="eastAsia" w:ascii="Times New Roman" w:hAnsi="Times New Roman" w:eastAsia="宋体" w:cs="Times New Roman"/>
                <w:color w:val="000000"/>
                <w:kern w:val="2"/>
                <w:sz w:val="21"/>
                <w:szCs w:val="21"/>
                <w:lang w:val="en-US" w:eastAsia="zh-CN" w:bidi="ar-SA"/>
              </w:rPr>
              <w:t>项目生活污水经处理可</w:t>
            </w:r>
            <w:r>
              <w:rPr>
                <w:rFonts w:hint="default" w:ascii="Times New Roman" w:hAnsi="Times New Roman" w:eastAsia="宋体" w:cs="Times New Roman"/>
                <w:color w:val="000000"/>
                <w:kern w:val="2"/>
                <w:sz w:val="21"/>
                <w:szCs w:val="21"/>
                <w:lang w:val="en-US" w:eastAsia="zh-CN" w:bidi="ar-SA"/>
              </w:rPr>
              <w:t>达《污水综合排放标准》</w:t>
            </w:r>
            <w:r>
              <w:rPr>
                <w:rFonts w:hint="eastAsia" w:ascii="宋体" w:hAnsi="宋体" w:eastAsia="宋体" w:cs="宋体"/>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GB</w:t>
            </w:r>
            <w:r>
              <w:rPr>
                <w:rFonts w:hint="eastAsia" w:cs="Times New Roman"/>
                <w:color w:val="000000"/>
                <w:kern w:val="2"/>
                <w:sz w:val="21"/>
                <w:szCs w:val="21"/>
                <w:lang w:val="en-US" w:eastAsia="zh-CN" w:bidi="ar-SA"/>
              </w:rPr>
              <w:t xml:space="preserve"> </w:t>
            </w:r>
            <w:r>
              <w:rPr>
                <w:rFonts w:hint="default" w:ascii="Times New Roman" w:hAnsi="Times New Roman" w:eastAsia="宋体" w:cs="Times New Roman"/>
                <w:color w:val="000000"/>
                <w:kern w:val="2"/>
                <w:sz w:val="21"/>
                <w:szCs w:val="21"/>
                <w:lang w:val="en-US" w:eastAsia="zh-CN" w:bidi="ar-SA"/>
              </w:rPr>
              <w:t>8978-1996</w:t>
            </w:r>
            <w:r>
              <w:rPr>
                <w:rFonts w:hint="eastAsia" w:ascii="宋体" w:hAnsi="宋体" w:eastAsia="宋体" w:cs="宋体"/>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表4三级标准</w:t>
            </w:r>
            <w:r>
              <w:rPr>
                <w:rFonts w:hint="eastAsia" w:ascii="宋体" w:hAnsi="宋体" w:eastAsia="宋体" w:cs="宋体"/>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其中NH</w:t>
            </w:r>
            <w:r>
              <w:rPr>
                <w:rFonts w:hint="default" w:ascii="Times New Roman" w:hAnsi="Times New Roman" w:eastAsia="宋体" w:cs="Times New Roman"/>
                <w:color w:val="000000"/>
                <w:kern w:val="2"/>
                <w:sz w:val="21"/>
                <w:szCs w:val="21"/>
                <w:vertAlign w:val="subscript"/>
                <w:lang w:val="en-US" w:eastAsia="zh-CN" w:bidi="ar-SA"/>
              </w:rPr>
              <w:t>3</w:t>
            </w:r>
            <w:r>
              <w:rPr>
                <w:rFonts w:hint="default" w:ascii="Times New Roman" w:hAnsi="Times New Roman" w:eastAsia="宋体" w:cs="Times New Roman"/>
                <w:color w:val="000000"/>
                <w:kern w:val="2"/>
                <w:sz w:val="21"/>
                <w:szCs w:val="21"/>
                <w:lang w:val="en-US" w:eastAsia="zh-CN" w:bidi="ar-SA"/>
              </w:rPr>
              <w:t>-N</w:t>
            </w:r>
            <w:r>
              <w:rPr>
                <w:rFonts w:hint="eastAsia" w:cs="Times New Roman"/>
                <w:color w:val="000000"/>
                <w:kern w:val="2"/>
                <w:sz w:val="21"/>
                <w:szCs w:val="21"/>
                <w:lang w:val="en-US" w:eastAsia="zh-CN" w:bidi="ar-SA"/>
              </w:rPr>
              <w:t>、TN</w:t>
            </w:r>
            <w:r>
              <w:rPr>
                <w:rFonts w:hint="default" w:ascii="Times New Roman" w:hAnsi="Times New Roman" w:eastAsia="宋体" w:cs="Times New Roman"/>
                <w:color w:val="000000"/>
                <w:kern w:val="2"/>
                <w:sz w:val="21"/>
                <w:szCs w:val="21"/>
                <w:lang w:val="en-US" w:eastAsia="zh-CN" w:bidi="ar-SA"/>
              </w:rPr>
              <w:t>指标执行《污水排入城镇下水道水质标准》</w:t>
            </w:r>
            <w:r>
              <w:rPr>
                <w:rFonts w:hint="eastAsia" w:ascii="宋体" w:hAnsi="宋体" w:eastAsia="宋体" w:cs="宋体"/>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GB/T</w:t>
            </w:r>
            <w:r>
              <w:rPr>
                <w:rFonts w:hint="eastAsia" w:cs="Times New Roman"/>
                <w:color w:val="000000"/>
                <w:kern w:val="2"/>
                <w:sz w:val="21"/>
                <w:szCs w:val="21"/>
                <w:lang w:val="en-US" w:eastAsia="zh-CN" w:bidi="ar-SA"/>
              </w:rPr>
              <w:t xml:space="preserve"> </w:t>
            </w:r>
            <w:r>
              <w:rPr>
                <w:rFonts w:hint="default" w:ascii="Times New Roman" w:hAnsi="Times New Roman" w:eastAsia="宋体" w:cs="Times New Roman"/>
                <w:color w:val="000000"/>
                <w:kern w:val="2"/>
                <w:sz w:val="21"/>
                <w:szCs w:val="21"/>
                <w:lang w:val="en-US" w:eastAsia="zh-CN" w:bidi="ar-SA"/>
              </w:rPr>
              <w:t>31962-2015</w:t>
            </w:r>
            <w:r>
              <w:rPr>
                <w:rFonts w:hint="eastAsia" w:ascii="宋体" w:hAnsi="宋体" w:eastAsia="宋体" w:cs="宋体"/>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表1中B级标准</w:t>
            </w:r>
            <w:r>
              <w:rPr>
                <w:rFonts w:hint="eastAsia" w:ascii="宋体" w:hAnsi="宋体" w:eastAsia="宋体" w:cs="宋体"/>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，项目</w:t>
            </w:r>
            <w:r>
              <w:rPr>
                <w:rFonts w:hint="default" w:ascii="Times New Roman" w:hAnsi="Times New Roman" w:eastAsia="宋体" w:cs="Times New Roman"/>
                <w:b w:val="0"/>
                <w:i w:val="0"/>
                <w:caps w:val="0"/>
                <w:color w:val="000000"/>
                <w:spacing w:val="0"/>
                <w:kern w:val="0"/>
                <w:sz w:val="21"/>
                <w:szCs w:val="21"/>
                <w:lang w:val="en-US" w:eastAsia="zh-CN" w:bidi="ar"/>
              </w:rPr>
              <w:t>废</w:t>
            </w:r>
            <w:r>
              <w:rPr>
                <w:rFonts w:hint="eastAsia" w:ascii="Times New Roman" w:hAnsi="Times New Roman" w:eastAsia="宋体" w:cs="Times New Roman"/>
                <w:b w:val="0"/>
                <w:i w:val="0"/>
                <w:caps w:val="0"/>
                <w:color w:val="000000"/>
                <w:spacing w:val="0"/>
                <w:kern w:val="0"/>
                <w:sz w:val="21"/>
                <w:szCs w:val="21"/>
                <w:lang w:val="en-US" w:eastAsia="zh-CN" w:bidi="ar"/>
              </w:rPr>
              <w:t>水</w:t>
            </w:r>
            <w:r>
              <w:rPr>
                <w:rFonts w:hint="default" w:ascii="Times New Roman" w:hAnsi="Times New Roman" w:eastAsia="宋体" w:cs="Times New Roman"/>
                <w:b w:val="0"/>
                <w:i w:val="0"/>
                <w:caps w:val="0"/>
                <w:color w:val="000000"/>
                <w:spacing w:val="0"/>
                <w:kern w:val="0"/>
                <w:sz w:val="21"/>
                <w:szCs w:val="21"/>
                <w:lang w:val="en-US" w:eastAsia="zh-CN" w:bidi="ar"/>
              </w:rPr>
              <w:t>可达标排放。</w:t>
            </w:r>
          </w:p>
          <w:p w14:paraId="7EEBE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4.1.</w:t>
            </w:r>
            <w:r>
              <w:rPr>
                <w:rFonts w:hint="eastAsia" w:cs="Times New Roman"/>
                <w:b/>
                <w:bCs/>
                <w:color w:val="000000"/>
                <w:sz w:val="21"/>
                <w:szCs w:val="21"/>
                <w:lang w:val="en-US" w:eastAsia="zh-CN"/>
              </w:rPr>
              <w:t>7</w:t>
            </w:r>
            <w:r>
              <w:rPr>
                <w:rFonts w:hint="default" w:ascii="Times New Roman" w:hAnsi="Times New Roman" w:cs="Times New Roman"/>
                <w:b/>
                <w:bCs/>
                <w:color w:val="000000"/>
                <w:sz w:val="21"/>
                <w:szCs w:val="21"/>
                <w:lang w:val="en-US" w:eastAsia="zh-CN"/>
              </w:rPr>
              <w:t>废水</w:t>
            </w:r>
            <w:r>
              <w:rPr>
                <w:rFonts w:hint="eastAsia" w:ascii="Times New Roman" w:hAnsi="Times New Roman" w:cs="Times New Roman"/>
                <w:b/>
                <w:bCs/>
                <w:color w:val="000000"/>
                <w:sz w:val="21"/>
                <w:szCs w:val="21"/>
                <w:lang w:val="en-US" w:eastAsia="zh-CN"/>
              </w:rPr>
              <w:t>监测计划</w:t>
            </w:r>
          </w:p>
          <w:p w14:paraId="77DFD32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ascii="Times New Roman" w:hAnsi="Times New Roman" w:eastAsia="宋体" w:cs="Times New Roman"/>
                <w:color w:val="000000"/>
                <w:sz w:val="21"/>
                <w:szCs w:val="21"/>
                <w:lang w:val="en-US"/>
              </w:rPr>
            </w:pPr>
            <w:r>
              <w:rPr>
                <w:rFonts w:hint="eastAsia" w:cs="Times New Roman"/>
                <w:b w:val="0"/>
                <w:bCs w:val="0"/>
                <w:color w:val="000000"/>
                <w:sz w:val="21"/>
                <w:szCs w:val="21"/>
                <w:lang w:val="en-US" w:eastAsia="zh-CN"/>
              </w:rPr>
              <w:t>根据</w:t>
            </w:r>
            <w:r>
              <w:rPr>
                <w:rFonts w:hint="default" w:ascii="Times New Roman" w:hAnsi="Times New Roman" w:eastAsia="宋体" w:cs="Times New Roman"/>
                <w:sz w:val="21"/>
                <w:szCs w:val="21"/>
                <w:lang w:val="en-US" w:eastAsia="zh-CN"/>
              </w:rPr>
              <w:t>《固定污染源排污许可分类管理名录（2019 年版）》可知，本项目</w:t>
            </w:r>
            <w:r>
              <w:rPr>
                <w:rFonts w:hint="eastAsia" w:ascii="Times New Roman" w:hAnsi="Times New Roman" w:eastAsia="宋体" w:cs="Times New Roman"/>
                <w:sz w:val="21"/>
                <w:szCs w:val="21"/>
                <w:lang w:val="en-US" w:eastAsia="zh-CN"/>
              </w:rPr>
              <w:t>属于</w:t>
            </w:r>
            <w:r>
              <w:rPr>
                <w:rFonts w:hint="default" w:ascii="Times New Roman" w:hAnsi="Times New Roman" w:eastAsia="宋体" w:cs="Times New Roman"/>
                <w:sz w:val="21"/>
                <w:szCs w:val="21"/>
                <w:lang w:val="en-US" w:eastAsia="zh-CN"/>
              </w:rPr>
              <w:t>十</w:t>
            </w:r>
            <w:r>
              <w:rPr>
                <w:rFonts w:hint="eastAsia" w:ascii="Times New Roman" w:hAnsi="Times New Roman" w:eastAsia="宋体" w:cs="Times New Roman"/>
                <w:sz w:val="21"/>
                <w:szCs w:val="21"/>
                <w:lang w:val="en-US" w:eastAsia="zh-CN"/>
              </w:rPr>
              <w:t>七</w:t>
            </w:r>
            <w:r>
              <w:rPr>
                <w:rFonts w:hint="default" w:ascii="Times New Roman" w:hAnsi="Times New Roman" w:eastAsia="宋体" w:cs="Times New Roman"/>
                <w:sz w:val="21"/>
                <w:szCs w:val="21"/>
                <w:lang w:val="en-US" w:eastAsia="zh-CN"/>
              </w:rPr>
              <w:t>、造纸和纸制品业22</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纸制品制造223</w:t>
            </w:r>
            <w:r>
              <w:rPr>
                <w:rFonts w:hint="eastAsia" w:ascii="Times New Roman" w:hAnsi="Times New Roman" w:eastAsia="宋体" w:cs="Times New Roman"/>
                <w:sz w:val="21"/>
                <w:szCs w:val="21"/>
                <w:lang w:val="en-US" w:eastAsia="zh-CN"/>
              </w:rPr>
              <w:t>，涉及废气排放，</w:t>
            </w:r>
            <w:r>
              <w:rPr>
                <w:rFonts w:hint="default" w:ascii="Times New Roman" w:hAnsi="Times New Roman" w:eastAsia="宋体" w:cs="Times New Roman"/>
                <w:sz w:val="21"/>
                <w:szCs w:val="21"/>
                <w:lang w:val="en-US" w:eastAsia="zh-CN"/>
              </w:rPr>
              <w:t>属于简化管理，生活污水无自行监测管理要求。如政策变化或者主管部门要求监测，项目可根据《排污单位自行监测技术指南 总则》（HJ 819-2017）相关技术规范的要求制定监测计划。</w:t>
            </w:r>
          </w:p>
          <w:p w14:paraId="0BECCE4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4.2运营期废气环境影响和保护措施</w:t>
            </w:r>
          </w:p>
          <w:p w14:paraId="62BCCE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4.</w:t>
            </w:r>
            <w:r>
              <w:rPr>
                <w:rFonts w:hint="eastAsia" w:cs="Times New Roman"/>
                <w:b/>
                <w:bCs/>
                <w:color w:val="000000"/>
                <w:sz w:val="21"/>
                <w:szCs w:val="21"/>
                <w:lang w:val="en-US" w:eastAsia="zh-CN"/>
              </w:rPr>
              <w:t>2</w:t>
            </w:r>
            <w:r>
              <w:rPr>
                <w:rFonts w:hint="default" w:ascii="Times New Roman" w:hAnsi="Times New Roman" w:cs="Times New Roman"/>
                <w:b/>
                <w:bCs/>
                <w:color w:val="000000"/>
                <w:sz w:val="21"/>
                <w:szCs w:val="21"/>
                <w:lang w:val="en-US" w:eastAsia="zh-CN"/>
              </w:rPr>
              <w:t>.1废</w:t>
            </w:r>
            <w:r>
              <w:rPr>
                <w:rFonts w:hint="eastAsia" w:ascii="Times New Roman" w:hAnsi="Times New Roman" w:cs="Times New Roman"/>
                <w:b/>
                <w:bCs/>
                <w:color w:val="000000"/>
                <w:sz w:val="21"/>
                <w:szCs w:val="21"/>
                <w:lang w:val="en-US" w:eastAsia="zh-CN"/>
              </w:rPr>
              <w:t>气</w:t>
            </w:r>
            <w:r>
              <w:rPr>
                <w:rFonts w:hint="eastAsia" w:cs="Times New Roman"/>
                <w:b/>
                <w:bCs/>
                <w:color w:val="000000"/>
                <w:sz w:val="21"/>
                <w:szCs w:val="21"/>
                <w:lang w:val="en-US" w:eastAsia="zh-CN"/>
              </w:rPr>
              <w:t>污染源强及排放情况</w:t>
            </w:r>
          </w:p>
          <w:p w14:paraId="599215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eastAsia="zh-CN"/>
              </w:rPr>
              <w:t>（</w:t>
            </w:r>
            <w:r>
              <w:rPr>
                <w:rFonts w:hint="default"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废气污染源强分析</w:t>
            </w:r>
          </w:p>
          <w:p w14:paraId="03FEA70A">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default" w:cs="Times New Roman"/>
                <w:color w:val="000000"/>
                <w:lang w:val="en-US" w:eastAsia="zh-CN"/>
              </w:rPr>
            </w:pPr>
            <w:r>
              <w:rPr>
                <w:rFonts w:hint="default" w:ascii="Times New Roman" w:hAnsi="Times New Roman" w:cs="Times New Roman"/>
                <w:color w:val="000000"/>
              </w:rPr>
              <w:t>根据项目生产工艺流程产污环节</w:t>
            </w:r>
            <w:r>
              <w:rPr>
                <w:rFonts w:hint="default" w:ascii="Times New Roman" w:hAnsi="Times New Roman" w:cs="Times New Roman"/>
                <w:color w:val="000000"/>
                <w:lang w:eastAsia="zh-CN"/>
              </w:rPr>
              <w:t>分析</w:t>
            </w:r>
            <w:r>
              <w:rPr>
                <w:rFonts w:hint="default" w:ascii="Times New Roman" w:hAnsi="Times New Roman" w:cs="Times New Roman"/>
                <w:color w:val="000000"/>
              </w:rPr>
              <w:t>，</w:t>
            </w:r>
            <w:r>
              <w:rPr>
                <w:rFonts w:hint="eastAsia"/>
                <w:color w:val="000000"/>
                <w:sz w:val="21"/>
                <w:szCs w:val="21"/>
                <w:lang w:val="en-US" w:eastAsia="zh-CN"/>
              </w:rPr>
              <w:t>本项目主要废气为木浆粉碎、芯体成型工序产生的粉尘（颗粒物）。</w:t>
            </w:r>
          </w:p>
          <w:p w14:paraId="33FF9BD5">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380" w:firstLineChars="200"/>
              <w:jc w:val="both"/>
              <w:textAlignment w:val="auto"/>
              <w:rPr>
                <w:rFonts w:hint="default" w:ascii="Times New Roman" w:hAnsi="Times New Roman" w:eastAsia="宋体" w:cs="Times New Roman"/>
                <w:bCs/>
                <w:color w:val="000000"/>
                <w:spacing w:val="-10"/>
                <w:szCs w:val="21"/>
                <w:lang w:val="en-US" w:eastAsia="zh-CN"/>
              </w:rPr>
            </w:pPr>
            <w:r>
              <w:rPr>
                <w:rFonts w:hint="default" w:ascii="Times New Roman" w:hAnsi="Times New Roman" w:eastAsia="宋体" w:cs="Times New Roman"/>
                <w:bCs/>
                <w:color w:val="000000"/>
                <w:spacing w:val="-10"/>
                <w:szCs w:val="21"/>
                <w:lang w:val="en-US" w:eastAsia="zh-CN"/>
              </w:rPr>
              <w:t>项目卫生巾生产中木浆粉碎、</w:t>
            </w:r>
            <w:r>
              <w:rPr>
                <w:rFonts w:hint="eastAsia" w:ascii="Times New Roman" w:hAnsi="Times New Roman" w:eastAsia="宋体" w:cs="Times New Roman"/>
                <w:bCs/>
                <w:color w:val="000000"/>
                <w:spacing w:val="-10"/>
                <w:szCs w:val="21"/>
                <w:lang w:val="en-US" w:eastAsia="zh-CN"/>
              </w:rPr>
              <w:t>芯体成型</w:t>
            </w:r>
            <w:r>
              <w:rPr>
                <w:rFonts w:hint="default" w:ascii="Times New Roman" w:hAnsi="Times New Roman" w:eastAsia="宋体" w:cs="Times New Roman"/>
                <w:bCs/>
                <w:color w:val="000000"/>
                <w:spacing w:val="-10"/>
                <w:szCs w:val="21"/>
                <w:lang w:val="en-US" w:eastAsia="zh-CN"/>
              </w:rPr>
              <w:t>工序会有少量粉尘产生，根据企业的生产经验及类比同类型企业《泉州市中恒卫生用品有限公司卫生用品生产迁建项目》（详见</w:t>
            </w:r>
            <w:r>
              <w:rPr>
                <w:rFonts w:hint="default" w:ascii="Times New Roman" w:hAnsi="Times New Roman" w:eastAsia="宋体" w:cs="Times New Roman"/>
                <w:b/>
                <w:bCs w:val="0"/>
                <w:color w:val="000000"/>
                <w:spacing w:val="-10"/>
                <w:szCs w:val="21"/>
                <w:lang w:val="en-US" w:eastAsia="zh-CN"/>
              </w:rPr>
              <w:t>表4-</w:t>
            </w:r>
            <w:r>
              <w:rPr>
                <w:rFonts w:hint="eastAsia" w:ascii="Times New Roman" w:hAnsi="Times New Roman" w:eastAsia="宋体" w:cs="Times New Roman"/>
                <w:b/>
                <w:bCs w:val="0"/>
                <w:color w:val="000000"/>
                <w:spacing w:val="-10"/>
                <w:szCs w:val="21"/>
                <w:lang w:val="en-US" w:eastAsia="zh-CN"/>
              </w:rPr>
              <w:t>6</w:t>
            </w:r>
            <w:r>
              <w:rPr>
                <w:rFonts w:hint="default" w:ascii="Times New Roman" w:hAnsi="Times New Roman" w:eastAsia="宋体" w:cs="Times New Roman"/>
                <w:bCs/>
                <w:color w:val="000000"/>
                <w:spacing w:val="-10"/>
                <w:szCs w:val="21"/>
                <w:lang w:val="en-US" w:eastAsia="zh-CN"/>
              </w:rPr>
              <w:t>）</w:t>
            </w:r>
            <w:r>
              <w:rPr>
                <w:rFonts w:hint="eastAsia" w:cs="Times New Roman"/>
                <w:bCs/>
                <w:color w:val="000000"/>
                <w:spacing w:val="-10"/>
                <w:szCs w:val="21"/>
                <w:lang w:val="en-US" w:eastAsia="zh-CN"/>
              </w:rPr>
              <w:t>。</w:t>
            </w:r>
          </w:p>
          <w:p w14:paraId="2E0F8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b/>
                <w:bCs/>
                <w:color w:val="000000"/>
              </w:rPr>
              <w:t>表</w:t>
            </w:r>
            <w:r>
              <w:rPr>
                <w:rFonts w:hint="eastAsia" w:ascii="Times New Roman" w:hAnsi="Times New Roman" w:eastAsia="宋体" w:cs="Times New Roman"/>
                <w:b/>
                <w:bCs/>
                <w:color w:val="000000"/>
                <w:lang w:val="en-US" w:eastAsia="zh-CN"/>
              </w:rPr>
              <w:t>4-</w:t>
            </w:r>
            <w:r>
              <w:rPr>
                <w:rFonts w:hint="eastAsia" w:cs="Times New Roman"/>
                <w:b/>
                <w:bCs/>
                <w:color w:val="000000"/>
                <w:lang w:val="en-US" w:eastAsia="zh-CN"/>
              </w:rPr>
              <w:t>6</w:t>
            </w:r>
            <w:r>
              <w:rPr>
                <w:rFonts w:hint="default" w:ascii="Times New Roman" w:hAnsi="Times New Roman" w:eastAsia="宋体" w:cs="Times New Roman"/>
                <w:b/>
                <w:bCs/>
                <w:color w:val="000000"/>
              </w:rPr>
              <w:t xml:space="preserve"> </w:t>
            </w:r>
            <w:r>
              <w:rPr>
                <w:rFonts w:hint="eastAsia" w:cs="Times New Roman"/>
                <w:b/>
                <w:bCs/>
                <w:color w:val="000000"/>
                <w:lang w:val="en-US" w:eastAsia="zh-CN"/>
              </w:rPr>
              <w:t xml:space="preserve"> </w:t>
            </w:r>
            <w:r>
              <w:rPr>
                <w:rFonts w:hint="default" w:ascii="Times New Roman" w:hAnsi="Times New Roman" w:eastAsia="宋体" w:cs="Times New Roman"/>
                <w:b/>
                <w:bCs/>
                <w:color w:val="000000"/>
              </w:rPr>
              <w:t>项目</w:t>
            </w:r>
            <w:r>
              <w:rPr>
                <w:rFonts w:hint="eastAsia" w:ascii="Times New Roman" w:hAnsi="Times New Roman" w:eastAsia="宋体" w:cs="Times New Roman"/>
                <w:b/>
                <w:bCs/>
                <w:color w:val="000000"/>
                <w:lang w:val="en-US" w:eastAsia="zh-CN"/>
              </w:rPr>
              <w:t>与泉州市中恒卫生用品有限公司生产运行情况对比表</w:t>
            </w:r>
          </w:p>
          <w:tbl>
            <w:tblPr>
              <w:tblStyle w:val="20"/>
              <w:tblW w:w="834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02"/>
              <w:gridCol w:w="689"/>
              <w:gridCol w:w="2500"/>
              <w:gridCol w:w="2054"/>
              <w:gridCol w:w="1233"/>
              <w:gridCol w:w="1167"/>
            </w:tblGrid>
            <w:tr w14:paraId="406406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2" w:type="dxa"/>
                  <w:tcBorders>
                    <w:top w:val="single" w:color="auto" w:sz="12" w:space="0"/>
                    <w:left w:val="nil"/>
                    <w:bottom w:val="single" w:color="auto" w:sz="4" w:space="0"/>
                    <w:right w:val="single" w:color="auto" w:sz="4" w:space="0"/>
                  </w:tcBorders>
                  <w:noWrap w:val="0"/>
                  <w:vAlign w:val="center"/>
                </w:tcPr>
                <w:p w14:paraId="08F37B1C">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企业</w:t>
                  </w:r>
                </w:p>
              </w:tc>
              <w:tc>
                <w:tcPr>
                  <w:tcW w:w="689" w:type="dxa"/>
                  <w:tcBorders>
                    <w:top w:val="single" w:color="auto" w:sz="12" w:space="0"/>
                    <w:left w:val="single" w:color="auto" w:sz="4" w:space="0"/>
                    <w:bottom w:val="single" w:color="auto" w:sz="4" w:space="0"/>
                    <w:right w:val="single" w:color="auto" w:sz="4" w:space="0"/>
                  </w:tcBorders>
                  <w:noWrap w:val="0"/>
                  <w:vAlign w:val="center"/>
                </w:tcPr>
                <w:p w14:paraId="5F849925">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产品</w:t>
                  </w:r>
                </w:p>
              </w:tc>
              <w:tc>
                <w:tcPr>
                  <w:tcW w:w="2500" w:type="dxa"/>
                  <w:tcBorders>
                    <w:top w:val="single" w:color="auto" w:sz="12" w:space="0"/>
                    <w:left w:val="single" w:color="auto" w:sz="4" w:space="0"/>
                    <w:bottom w:val="single" w:color="auto" w:sz="4" w:space="0"/>
                    <w:right w:val="single" w:color="auto" w:sz="4" w:space="0"/>
                  </w:tcBorders>
                  <w:noWrap w:val="0"/>
                  <w:vAlign w:val="center"/>
                </w:tcPr>
                <w:p w14:paraId="03CB0F85">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生产工艺</w:t>
                  </w:r>
                </w:p>
              </w:tc>
              <w:tc>
                <w:tcPr>
                  <w:tcW w:w="2054" w:type="dxa"/>
                  <w:tcBorders>
                    <w:top w:val="single" w:color="auto" w:sz="12" w:space="0"/>
                    <w:left w:val="single" w:color="auto" w:sz="4" w:space="0"/>
                    <w:bottom w:val="single" w:color="auto" w:sz="4" w:space="0"/>
                    <w:right w:val="single" w:color="auto" w:sz="4" w:space="0"/>
                  </w:tcBorders>
                  <w:noWrap w:val="0"/>
                  <w:vAlign w:val="center"/>
                </w:tcPr>
                <w:p w14:paraId="330C9DB4">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原辅料</w:t>
                  </w:r>
                </w:p>
              </w:tc>
              <w:tc>
                <w:tcPr>
                  <w:tcW w:w="1233" w:type="dxa"/>
                  <w:tcBorders>
                    <w:top w:val="single" w:color="auto" w:sz="12" w:space="0"/>
                    <w:left w:val="single" w:color="auto" w:sz="4" w:space="0"/>
                    <w:bottom w:val="single" w:color="auto" w:sz="4" w:space="0"/>
                    <w:right w:val="nil"/>
                  </w:tcBorders>
                  <w:noWrap w:val="0"/>
                  <w:vAlign w:val="center"/>
                </w:tcPr>
                <w:p w14:paraId="77B2F78F">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粉尘产生量</w:t>
                  </w:r>
                </w:p>
              </w:tc>
              <w:tc>
                <w:tcPr>
                  <w:tcW w:w="1167" w:type="dxa"/>
                  <w:tcBorders>
                    <w:top w:val="single" w:color="auto" w:sz="12" w:space="0"/>
                    <w:left w:val="single" w:color="auto" w:sz="4" w:space="0"/>
                    <w:bottom w:val="single" w:color="auto" w:sz="4" w:space="0"/>
                    <w:right w:val="nil"/>
                  </w:tcBorders>
                  <w:noWrap w:val="0"/>
                  <w:vAlign w:val="center"/>
                </w:tcPr>
                <w:p w14:paraId="713CA914">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cs="Times New Roman"/>
                      <w:b/>
                      <w:bCs/>
                      <w:color w:val="000000"/>
                      <w:sz w:val="21"/>
                      <w:szCs w:val="21"/>
                      <w:lang w:val="en-US" w:eastAsia="zh-CN"/>
                    </w:rPr>
                  </w:pPr>
                  <w:r>
                    <w:rPr>
                      <w:rFonts w:hint="eastAsia" w:cs="Times New Roman"/>
                      <w:b/>
                      <w:bCs/>
                      <w:color w:val="000000"/>
                      <w:sz w:val="21"/>
                      <w:szCs w:val="21"/>
                      <w:lang w:val="en-US" w:eastAsia="zh-CN"/>
                    </w:rPr>
                    <w:t>处理设施</w:t>
                  </w:r>
                </w:p>
              </w:tc>
            </w:tr>
            <w:tr w14:paraId="6C69A2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2" w:type="dxa"/>
                  <w:tcBorders>
                    <w:top w:val="single" w:color="auto" w:sz="4" w:space="0"/>
                    <w:left w:val="nil"/>
                    <w:bottom w:val="single" w:color="auto" w:sz="4" w:space="0"/>
                    <w:right w:val="single" w:color="auto" w:sz="4" w:space="0"/>
                  </w:tcBorders>
                  <w:noWrap w:val="0"/>
                  <w:vAlign w:val="center"/>
                </w:tcPr>
                <w:p w14:paraId="1CB1D945">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泉州市中恒卫生用品有限公司</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71015BF">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卫生巾、纸尿裤</w:t>
                  </w:r>
                </w:p>
              </w:tc>
              <w:tc>
                <w:tcPr>
                  <w:tcW w:w="2500" w:type="dxa"/>
                  <w:tcBorders>
                    <w:top w:val="single" w:color="auto" w:sz="4" w:space="0"/>
                    <w:left w:val="single" w:color="auto" w:sz="4" w:space="0"/>
                    <w:bottom w:val="single" w:color="auto" w:sz="4" w:space="0"/>
                    <w:right w:val="single" w:color="auto" w:sz="4" w:space="0"/>
                  </w:tcBorders>
                  <w:noWrap w:val="0"/>
                  <w:vAlign w:val="center"/>
                </w:tcPr>
                <w:p w14:paraId="09BB1910">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破碎-紫外线杀菌-胚成型-包覆-压合-内切成型-粘贴-刮胶-粘贴离型纸-切片-紫外线杀菌-外包膜-检验-包装</w:t>
                  </w:r>
                </w:p>
              </w:tc>
              <w:tc>
                <w:tcPr>
                  <w:tcW w:w="2054" w:type="dxa"/>
                  <w:tcBorders>
                    <w:top w:val="single" w:color="auto" w:sz="4" w:space="0"/>
                    <w:left w:val="single" w:color="auto" w:sz="4" w:space="0"/>
                    <w:bottom w:val="single" w:color="auto" w:sz="4" w:space="0"/>
                    <w:right w:val="single" w:color="auto" w:sz="4" w:space="0"/>
                  </w:tcBorders>
                  <w:noWrap w:val="0"/>
                  <w:vAlign w:val="center"/>
                </w:tcPr>
                <w:p w14:paraId="69829B39">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木浆纸、高分子吸水树脂、复合胚体、无纺布、热熔胶、卫生纸、离型纸、打孔膜、流延膜、面层、氨纶丝、橡筋、魔术贴、透气膜</w:t>
                  </w:r>
                </w:p>
              </w:tc>
              <w:tc>
                <w:tcPr>
                  <w:tcW w:w="1233" w:type="dxa"/>
                  <w:tcBorders>
                    <w:top w:val="single" w:color="auto" w:sz="4" w:space="0"/>
                    <w:left w:val="single" w:color="auto" w:sz="4" w:space="0"/>
                    <w:bottom w:val="single" w:color="auto" w:sz="4" w:space="0"/>
                    <w:right w:val="nil"/>
                  </w:tcBorders>
                  <w:noWrap w:val="0"/>
                  <w:vAlign w:val="center"/>
                </w:tcPr>
                <w:p w14:paraId="508FF3FB">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1.0%原辅料</w:t>
                  </w:r>
                </w:p>
              </w:tc>
              <w:tc>
                <w:tcPr>
                  <w:tcW w:w="1167" w:type="dxa"/>
                  <w:tcBorders>
                    <w:top w:val="single" w:color="auto" w:sz="4" w:space="0"/>
                    <w:left w:val="single" w:color="auto" w:sz="4" w:space="0"/>
                    <w:bottom w:val="single" w:color="auto" w:sz="4" w:space="0"/>
                    <w:right w:val="nil"/>
                  </w:tcBorders>
                  <w:noWrap w:val="0"/>
                  <w:vAlign w:val="center"/>
                </w:tcPr>
                <w:p w14:paraId="3FB7BB5A">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布袋除尘器</w:t>
                  </w:r>
                </w:p>
              </w:tc>
            </w:tr>
            <w:tr w14:paraId="1CD2B1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2" w:type="dxa"/>
                  <w:tcBorders>
                    <w:top w:val="single" w:color="auto" w:sz="4" w:space="0"/>
                    <w:left w:val="nil"/>
                    <w:bottom w:val="single" w:color="auto" w:sz="12" w:space="0"/>
                    <w:right w:val="single" w:color="auto" w:sz="4" w:space="0"/>
                  </w:tcBorders>
                  <w:noWrap w:val="0"/>
                  <w:vAlign w:val="center"/>
                </w:tcPr>
                <w:p w14:paraId="4709282A">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本项目</w:t>
                  </w:r>
                </w:p>
              </w:tc>
              <w:tc>
                <w:tcPr>
                  <w:tcW w:w="689" w:type="dxa"/>
                  <w:tcBorders>
                    <w:top w:val="single" w:color="auto" w:sz="4" w:space="0"/>
                    <w:left w:val="single" w:color="auto" w:sz="4" w:space="0"/>
                    <w:bottom w:val="single" w:color="auto" w:sz="12" w:space="0"/>
                    <w:right w:val="single" w:color="auto" w:sz="4" w:space="0"/>
                  </w:tcBorders>
                  <w:noWrap w:val="0"/>
                  <w:vAlign w:val="center"/>
                </w:tcPr>
                <w:p w14:paraId="60E8F034">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卫生巾、护垫、经期裤</w:t>
                  </w:r>
                </w:p>
              </w:tc>
              <w:tc>
                <w:tcPr>
                  <w:tcW w:w="2500" w:type="dxa"/>
                  <w:tcBorders>
                    <w:top w:val="single" w:color="auto" w:sz="4" w:space="0"/>
                    <w:left w:val="single" w:color="auto" w:sz="4" w:space="0"/>
                    <w:bottom w:val="single" w:color="auto" w:sz="12" w:space="0"/>
                    <w:right w:val="single" w:color="auto" w:sz="4" w:space="0"/>
                  </w:tcBorders>
                  <w:noWrap w:val="0"/>
                  <w:vAlign w:val="center"/>
                </w:tcPr>
                <w:p w14:paraId="095269E1">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粉碎-芯体成型-棉芯包裹-压实/压花-内切/分切-压型/成型-复合-外切/O切-封合-小包封切-排片检验-包装；光压-压花-周封-刮胶-环切-折叠-封切-排片检验-包装</w:t>
                  </w:r>
                </w:p>
              </w:tc>
              <w:tc>
                <w:tcPr>
                  <w:tcW w:w="2054" w:type="dxa"/>
                  <w:tcBorders>
                    <w:top w:val="single" w:color="auto" w:sz="4" w:space="0"/>
                    <w:left w:val="single" w:color="auto" w:sz="4" w:space="0"/>
                    <w:bottom w:val="single" w:color="auto" w:sz="12" w:space="0"/>
                    <w:right w:val="single" w:color="auto" w:sz="4" w:space="0"/>
                  </w:tcBorders>
                  <w:noWrap w:val="0"/>
                  <w:vAlign w:val="center"/>
                </w:tcPr>
                <w:p w14:paraId="2F479A25">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无纺布、PE膜、木浆、热熔胶、SAP</w:t>
                  </w:r>
                  <w:r>
                    <w:rPr>
                      <w:rFonts w:hint="default" w:ascii="Times New Roman" w:hAnsi="Times New Roman" w:eastAsia="宋体" w:cs="Times New Roman"/>
                      <w:bCs/>
                      <w:color w:val="000000"/>
                      <w:spacing w:val="-10"/>
                      <w:sz w:val="21"/>
                      <w:szCs w:val="21"/>
                      <w:lang w:val="en-US" w:eastAsia="zh-CN"/>
                    </w:rPr>
                    <w:t>高分子吸水树脂</w:t>
                  </w:r>
                  <w:r>
                    <w:rPr>
                      <w:rFonts w:hint="eastAsia" w:cs="Times New Roman"/>
                      <w:color w:val="000000"/>
                      <w:sz w:val="21"/>
                      <w:szCs w:val="21"/>
                      <w:lang w:val="en-US" w:eastAsia="zh-CN"/>
                    </w:rPr>
                    <w:t>、吸水纸、离型纸、快易贴、卫生纸、氨纶丝、膨化纸</w:t>
                  </w:r>
                </w:p>
              </w:tc>
              <w:tc>
                <w:tcPr>
                  <w:tcW w:w="1233" w:type="dxa"/>
                  <w:tcBorders>
                    <w:top w:val="single" w:color="auto" w:sz="4" w:space="0"/>
                    <w:left w:val="single" w:color="auto" w:sz="4" w:space="0"/>
                    <w:bottom w:val="single" w:color="auto" w:sz="12" w:space="0"/>
                    <w:right w:val="nil"/>
                  </w:tcBorders>
                  <w:noWrap w:val="0"/>
                  <w:vAlign w:val="center"/>
                </w:tcPr>
                <w:p w14:paraId="7798B502">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1.0%原辅料</w:t>
                  </w:r>
                </w:p>
              </w:tc>
              <w:tc>
                <w:tcPr>
                  <w:tcW w:w="1167" w:type="dxa"/>
                  <w:tcBorders>
                    <w:top w:val="single" w:color="auto" w:sz="4" w:space="0"/>
                    <w:left w:val="single" w:color="auto" w:sz="4" w:space="0"/>
                    <w:bottom w:val="single" w:color="auto" w:sz="12" w:space="0"/>
                    <w:right w:val="nil"/>
                  </w:tcBorders>
                  <w:noWrap w:val="0"/>
                  <w:vAlign w:val="center"/>
                </w:tcPr>
                <w:p w14:paraId="5D4A39A5">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line="240" w:lineRule="auto"/>
                    <w:ind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脉冲布袋除尘器</w:t>
                  </w:r>
                </w:p>
              </w:tc>
            </w:tr>
          </w:tbl>
          <w:p w14:paraId="77638D73">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380" w:firstLineChars="200"/>
              <w:jc w:val="both"/>
              <w:textAlignment w:val="auto"/>
              <w:rPr>
                <w:rFonts w:hint="default" w:ascii="Times New Roman" w:hAnsi="Times New Roman" w:eastAsia="宋体" w:cs="Times New Roman"/>
                <w:bCs/>
                <w:color w:val="000000"/>
                <w:spacing w:val="-10"/>
                <w:szCs w:val="21"/>
                <w:lang w:val="en-US" w:eastAsia="zh-CN"/>
              </w:rPr>
            </w:pPr>
            <w:r>
              <w:rPr>
                <w:rFonts w:hint="eastAsia" w:cs="Times New Roman"/>
                <w:bCs/>
                <w:color w:val="000000"/>
                <w:spacing w:val="-10"/>
                <w:szCs w:val="21"/>
                <w:lang w:val="en-US" w:eastAsia="zh-CN"/>
              </w:rPr>
              <w:t>由上表可知，本项目与泉州市中恒卫生用品有限公司相比，生产工艺、原辅料、污染防治措施基本相同，项目木浆粉碎、芯体成型粉尘产生量类比同类型企业具有可行性。</w:t>
            </w:r>
            <w:r>
              <w:rPr>
                <w:rFonts w:hint="default" w:ascii="Times New Roman" w:hAnsi="Times New Roman" w:eastAsia="宋体" w:cs="Times New Roman"/>
                <w:bCs/>
                <w:color w:val="000000"/>
                <w:spacing w:val="-10"/>
                <w:szCs w:val="21"/>
                <w:lang w:val="en-US" w:eastAsia="zh-CN"/>
              </w:rPr>
              <w:t>项目粉尘的产生量以原料（木浆、</w:t>
            </w:r>
            <w:r>
              <w:rPr>
                <w:rFonts w:hint="eastAsia" w:cs="Times New Roman"/>
                <w:bCs/>
                <w:color w:val="000000"/>
                <w:spacing w:val="-10"/>
                <w:szCs w:val="21"/>
                <w:lang w:val="en-US" w:eastAsia="zh-CN"/>
              </w:rPr>
              <w:t>SAP</w:t>
            </w:r>
            <w:r>
              <w:rPr>
                <w:rFonts w:hint="default" w:ascii="Times New Roman" w:hAnsi="Times New Roman" w:eastAsia="宋体" w:cs="Times New Roman"/>
                <w:bCs/>
                <w:color w:val="000000"/>
                <w:spacing w:val="-10"/>
                <w:szCs w:val="21"/>
                <w:lang w:val="en-US" w:eastAsia="zh-CN"/>
              </w:rPr>
              <w:t>高分子吸水树脂）总用量的1%计，</w:t>
            </w:r>
            <w:r>
              <w:rPr>
                <w:rFonts w:hint="eastAsia" w:cs="Times New Roman"/>
                <w:bCs/>
                <w:color w:val="000000"/>
                <w:spacing w:val="-10"/>
                <w:szCs w:val="21"/>
                <w:lang w:val="en-US" w:eastAsia="zh-CN"/>
              </w:rPr>
              <w:t>本项目木浆用量为80t/a，SAP</w:t>
            </w:r>
            <w:r>
              <w:rPr>
                <w:rFonts w:hint="default" w:ascii="Times New Roman" w:hAnsi="Times New Roman" w:eastAsia="宋体" w:cs="Times New Roman"/>
                <w:bCs/>
                <w:color w:val="000000"/>
                <w:spacing w:val="-10"/>
                <w:szCs w:val="21"/>
                <w:lang w:val="en-US" w:eastAsia="zh-CN"/>
              </w:rPr>
              <w:t>高分子吸水树脂</w:t>
            </w:r>
            <w:r>
              <w:rPr>
                <w:rFonts w:hint="eastAsia" w:cs="Times New Roman"/>
                <w:bCs/>
                <w:color w:val="000000"/>
                <w:spacing w:val="-10"/>
                <w:szCs w:val="21"/>
                <w:lang w:val="en-US" w:eastAsia="zh-CN"/>
              </w:rPr>
              <w:t>用量为200t/a，</w:t>
            </w:r>
            <w:r>
              <w:rPr>
                <w:rFonts w:hint="default" w:ascii="Times New Roman" w:hAnsi="Times New Roman" w:eastAsia="宋体" w:cs="Times New Roman"/>
                <w:bCs/>
                <w:color w:val="000000"/>
                <w:spacing w:val="-10"/>
                <w:szCs w:val="21"/>
                <w:lang w:val="en-US" w:eastAsia="zh-CN"/>
              </w:rPr>
              <w:t>则粉尘产生量为</w:t>
            </w:r>
            <w:r>
              <w:rPr>
                <w:rFonts w:hint="eastAsia" w:cs="Times New Roman"/>
                <w:bCs/>
                <w:color w:val="000000"/>
                <w:spacing w:val="-10"/>
                <w:szCs w:val="21"/>
                <w:lang w:val="en-US" w:eastAsia="zh-CN"/>
              </w:rPr>
              <w:t>2.8</w:t>
            </w:r>
            <w:r>
              <w:rPr>
                <w:rFonts w:hint="default" w:ascii="Times New Roman" w:hAnsi="Times New Roman" w:eastAsia="宋体" w:cs="Times New Roman"/>
                <w:bCs/>
                <w:color w:val="000000"/>
                <w:spacing w:val="-10"/>
                <w:szCs w:val="21"/>
                <w:lang w:val="en-US" w:eastAsia="zh-CN"/>
              </w:rPr>
              <w:t>t/a</w:t>
            </w:r>
            <w:r>
              <w:rPr>
                <w:rFonts w:hint="eastAsia" w:cs="Times New Roman"/>
                <w:bCs/>
                <w:color w:val="000000"/>
                <w:spacing w:val="-10"/>
                <w:szCs w:val="21"/>
                <w:lang w:val="en-US" w:eastAsia="zh-CN"/>
              </w:rPr>
              <w:t>。</w:t>
            </w:r>
          </w:p>
          <w:p w14:paraId="61201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b/>
                <w:bCs/>
                <w:color w:val="000000"/>
              </w:rPr>
              <w:t>表</w:t>
            </w:r>
            <w:r>
              <w:rPr>
                <w:rFonts w:hint="eastAsia" w:ascii="Times New Roman" w:hAnsi="Times New Roman" w:eastAsia="宋体" w:cs="Times New Roman"/>
                <w:b/>
                <w:bCs/>
                <w:color w:val="000000"/>
                <w:lang w:val="en-US" w:eastAsia="zh-CN"/>
              </w:rPr>
              <w:t>4-</w:t>
            </w:r>
            <w:r>
              <w:rPr>
                <w:rFonts w:hint="eastAsia" w:cs="Times New Roman"/>
                <w:b/>
                <w:bCs/>
                <w:color w:val="000000"/>
                <w:lang w:val="en-US" w:eastAsia="zh-CN"/>
              </w:rPr>
              <w:t>7</w:t>
            </w:r>
            <w:r>
              <w:rPr>
                <w:rFonts w:hint="default" w:ascii="Times New Roman" w:hAnsi="Times New Roman" w:eastAsia="宋体" w:cs="Times New Roman"/>
                <w:b/>
                <w:bCs/>
                <w:color w:val="000000"/>
              </w:rPr>
              <w:t xml:space="preserve"> </w:t>
            </w:r>
            <w:r>
              <w:rPr>
                <w:rFonts w:hint="eastAsia" w:cs="Times New Roman"/>
                <w:b/>
                <w:bCs/>
                <w:color w:val="000000"/>
                <w:lang w:val="en-US" w:eastAsia="zh-CN"/>
              </w:rPr>
              <w:t xml:space="preserve"> </w:t>
            </w:r>
            <w:r>
              <w:rPr>
                <w:rFonts w:hint="default" w:ascii="Times New Roman" w:hAnsi="Times New Roman" w:eastAsia="宋体" w:cs="Times New Roman"/>
                <w:b/>
                <w:bCs/>
                <w:color w:val="000000"/>
              </w:rPr>
              <w:t>项目</w:t>
            </w:r>
            <w:r>
              <w:rPr>
                <w:rFonts w:hint="eastAsia" w:cs="Times New Roman"/>
                <w:b/>
                <w:bCs/>
                <w:color w:val="000000"/>
                <w:lang w:val="en-US" w:eastAsia="zh-CN"/>
              </w:rPr>
              <w:t>废气处理设施一览</w:t>
            </w:r>
            <w:r>
              <w:rPr>
                <w:rFonts w:hint="eastAsia" w:ascii="Times New Roman" w:hAnsi="Times New Roman" w:eastAsia="宋体" w:cs="Times New Roman"/>
                <w:b/>
                <w:bCs/>
                <w:color w:val="000000"/>
                <w:lang w:val="en-US" w:eastAsia="zh-CN"/>
              </w:rPr>
              <w:t>表</w:t>
            </w:r>
          </w:p>
          <w:tbl>
            <w:tblPr>
              <w:tblStyle w:val="20"/>
              <w:tblW w:w="83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85"/>
              <w:gridCol w:w="757"/>
              <w:gridCol w:w="525"/>
              <w:gridCol w:w="815"/>
              <w:gridCol w:w="1151"/>
              <w:gridCol w:w="1427"/>
              <w:gridCol w:w="874"/>
              <w:gridCol w:w="1028"/>
            </w:tblGrid>
            <w:tr w14:paraId="62D330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6" w:type="dxa"/>
                  <w:noWrap w:val="0"/>
                  <w:vAlign w:val="center"/>
                </w:tcPr>
                <w:p w14:paraId="2D1FAD0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rPr>
                    <w:t>设备</w:t>
                  </w:r>
                  <w:r>
                    <w:rPr>
                      <w:rFonts w:hint="default" w:ascii="Times New Roman" w:hAnsi="Times New Roman" w:cs="Times New Roman"/>
                      <w:b/>
                      <w:bCs/>
                      <w:color w:val="auto"/>
                      <w:szCs w:val="21"/>
                      <w:highlight w:val="none"/>
                      <w:lang w:val="en-US" w:eastAsia="zh-CN"/>
                    </w:rPr>
                    <w:t>名称</w:t>
                  </w:r>
                </w:p>
              </w:tc>
              <w:tc>
                <w:tcPr>
                  <w:tcW w:w="1085" w:type="dxa"/>
                  <w:noWrap w:val="0"/>
                  <w:vAlign w:val="center"/>
                </w:tcPr>
                <w:p w14:paraId="32DB4FD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rPr>
                    <w:t>设备</w:t>
                  </w:r>
                  <w:r>
                    <w:rPr>
                      <w:rFonts w:hint="default" w:ascii="Times New Roman" w:hAnsi="Times New Roman" w:cs="Times New Roman"/>
                      <w:b/>
                      <w:bCs/>
                      <w:color w:val="auto"/>
                      <w:szCs w:val="21"/>
                      <w:highlight w:val="none"/>
                      <w:lang w:val="en-US" w:eastAsia="zh-CN"/>
                    </w:rPr>
                    <w:t>数量</w:t>
                  </w:r>
                  <w:r>
                    <w:rPr>
                      <w:rFonts w:hint="eastAsia" w:cs="Times New Roman"/>
                      <w:b/>
                      <w:bCs/>
                      <w:color w:val="000000"/>
                      <w:sz w:val="21"/>
                      <w:szCs w:val="21"/>
                      <w:lang w:eastAsia="zh-CN"/>
                    </w:rPr>
                    <w:t>（台</w:t>
                  </w:r>
                  <w:r>
                    <w:rPr>
                      <w:rFonts w:hint="eastAsia" w:cs="Times New Roman"/>
                      <w:b/>
                      <w:bCs/>
                      <w:color w:val="000000"/>
                      <w:sz w:val="21"/>
                      <w:szCs w:val="21"/>
                      <w:lang w:val="en-US" w:eastAsia="zh-CN"/>
                    </w:rPr>
                    <w:t>/条</w:t>
                  </w:r>
                  <w:r>
                    <w:rPr>
                      <w:rFonts w:hint="eastAsia" w:cs="Times New Roman"/>
                      <w:b/>
                      <w:bCs/>
                      <w:color w:val="000000"/>
                      <w:sz w:val="21"/>
                      <w:szCs w:val="21"/>
                      <w:lang w:eastAsia="zh-CN"/>
                    </w:rPr>
                    <w:t>）</w:t>
                  </w:r>
                </w:p>
              </w:tc>
              <w:tc>
                <w:tcPr>
                  <w:tcW w:w="757" w:type="dxa"/>
                  <w:noWrap w:val="0"/>
                  <w:vAlign w:val="center"/>
                </w:tcPr>
                <w:p w14:paraId="5ED93CA8">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工序</w:t>
                  </w:r>
                </w:p>
              </w:tc>
              <w:tc>
                <w:tcPr>
                  <w:tcW w:w="1340" w:type="dxa"/>
                  <w:gridSpan w:val="2"/>
                  <w:noWrap w:val="0"/>
                  <w:vAlign w:val="center"/>
                </w:tcPr>
                <w:p w14:paraId="65E0D0B1">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产生量t/a</w:t>
                  </w:r>
                </w:p>
              </w:tc>
              <w:tc>
                <w:tcPr>
                  <w:tcW w:w="1151" w:type="dxa"/>
                  <w:noWrap w:val="0"/>
                  <w:vAlign w:val="center"/>
                </w:tcPr>
                <w:p w14:paraId="6B585C30">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集气罩收集效率%</w:t>
                  </w:r>
                </w:p>
              </w:tc>
              <w:tc>
                <w:tcPr>
                  <w:tcW w:w="1427" w:type="dxa"/>
                  <w:noWrap w:val="0"/>
                  <w:vAlign w:val="center"/>
                </w:tcPr>
                <w:p w14:paraId="5C7C1937">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处理效率%</w:t>
                  </w:r>
                </w:p>
              </w:tc>
              <w:tc>
                <w:tcPr>
                  <w:tcW w:w="874" w:type="dxa"/>
                  <w:noWrap w:val="0"/>
                  <w:vAlign w:val="center"/>
                </w:tcPr>
                <w:p w14:paraId="075A64E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排放口编号</w:t>
                  </w:r>
                </w:p>
              </w:tc>
              <w:tc>
                <w:tcPr>
                  <w:tcW w:w="1028" w:type="dxa"/>
                  <w:noWrap w:val="0"/>
                  <w:vAlign w:val="center"/>
                </w:tcPr>
                <w:p w14:paraId="45EE8D26">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配套风机风量m</w:t>
                  </w:r>
                  <w:r>
                    <w:rPr>
                      <w:rFonts w:hint="default" w:ascii="Times New Roman" w:hAnsi="Times New Roman" w:cs="Times New Roman"/>
                      <w:b/>
                      <w:bCs/>
                      <w:color w:val="auto"/>
                      <w:szCs w:val="21"/>
                      <w:highlight w:val="none"/>
                      <w:vertAlign w:val="superscript"/>
                    </w:rPr>
                    <w:t>3</w:t>
                  </w:r>
                  <w:r>
                    <w:rPr>
                      <w:rFonts w:hint="default" w:ascii="Times New Roman" w:hAnsi="Times New Roman" w:cs="Times New Roman"/>
                      <w:b/>
                      <w:bCs/>
                      <w:color w:val="auto"/>
                      <w:szCs w:val="21"/>
                      <w:highlight w:val="none"/>
                    </w:rPr>
                    <w:t>/h</w:t>
                  </w:r>
                </w:p>
              </w:tc>
            </w:tr>
            <w:tr w14:paraId="1333CD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Merge w:val="restart"/>
                  <w:noWrap w:val="0"/>
                  <w:vAlign w:val="center"/>
                </w:tcPr>
                <w:p w14:paraId="39E7C86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裤型卫生巾生产线</w:t>
                  </w:r>
                </w:p>
              </w:tc>
              <w:tc>
                <w:tcPr>
                  <w:tcW w:w="1085" w:type="dxa"/>
                  <w:noWrap w:val="0"/>
                  <w:vAlign w:val="center"/>
                </w:tcPr>
                <w:p w14:paraId="0397C48F">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w:t>
                  </w:r>
                </w:p>
              </w:tc>
              <w:tc>
                <w:tcPr>
                  <w:tcW w:w="757" w:type="dxa"/>
                  <w:vMerge w:val="restart"/>
                  <w:noWrap w:val="0"/>
                  <w:vAlign w:val="center"/>
                </w:tcPr>
                <w:p w14:paraId="217A056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粉碎、芯体成型</w:t>
                  </w:r>
                </w:p>
              </w:tc>
              <w:tc>
                <w:tcPr>
                  <w:tcW w:w="525" w:type="dxa"/>
                  <w:vMerge w:val="restart"/>
                  <w:noWrap w:val="0"/>
                  <w:vAlign w:val="center"/>
                </w:tcPr>
                <w:p w14:paraId="718189B9">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bookmarkStart w:id="36" w:name="_GoBack"/>
                  <w:bookmarkEnd w:id="36"/>
                </w:p>
              </w:tc>
              <w:tc>
                <w:tcPr>
                  <w:tcW w:w="815" w:type="dxa"/>
                  <w:noWrap w:val="0"/>
                  <w:vAlign w:val="center"/>
                </w:tcPr>
                <w:p w14:paraId="3DA58E59">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151" w:type="dxa"/>
                  <w:vMerge w:val="restart"/>
                  <w:noWrap w:val="0"/>
                  <w:vAlign w:val="center"/>
                </w:tcPr>
                <w:p w14:paraId="040C6792">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95</w:t>
                  </w:r>
                  <w:r>
                    <w:rPr>
                      <w:rFonts w:hint="default" w:ascii="Times New Roman" w:hAnsi="Times New Roman" w:cs="Times New Roman"/>
                      <w:color w:val="auto"/>
                      <w:sz w:val="18"/>
                      <w:szCs w:val="18"/>
                      <w:highlight w:val="none"/>
                      <w:vertAlign w:val="superscript"/>
                      <w:lang w:val="en-US" w:eastAsia="zh-CN"/>
                    </w:rPr>
                    <w:t>①</w:t>
                  </w:r>
                  <w:r>
                    <w:rPr>
                      <w:rFonts w:hint="default" w:ascii="Times New Roman" w:hAnsi="Times New Roman" w:cs="Times New Roman"/>
                      <w:color w:val="auto"/>
                      <w:highlight w:val="none"/>
                    </w:rPr>
                    <w:t>（密闭</w:t>
                  </w:r>
                  <w:r>
                    <w:rPr>
                      <w:rFonts w:hint="default" w:ascii="Times New Roman" w:hAnsi="Times New Roman" w:cs="Times New Roman"/>
                      <w:color w:val="auto"/>
                      <w:highlight w:val="none"/>
                      <w:lang w:val="en-US" w:eastAsia="zh-CN"/>
                    </w:rPr>
                    <w:t>玻璃罩</w:t>
                  </w:r>
                  <w:r>
                    <w:rPr>
                      <w:rFonts w:hint="default" w:ascii="Times New Roman" w:hAnsi="Times New Roman" w:cs="Times New Roman"/>
                      <w:color w:val="auto"/>
                      <w:highlight w:val="none"/>
                    </w:rPr>
                    <w:t>）</w:t>
                  </w:r>
                </w:p>
              </w:tc>
              <w:tc>
                <w:tcPr>
                  <w:tcW w:w="1427" w:type="dxa"/>
                  <w:noWrap w:val="0"/>
                  <w:vAlign w:val="center"/>
                </w:tcPr>
                <w:p w14:paraId="4F77612D">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95</w:t>
                  </w:r>
                  <w:r>
                    <w:rPr>
                      <w:rFonts w:hint="default" w:ascii="Times New Roman" w:hAnsi="Times New Roman" w:cs="Times New Roman"/>
                      <w:color w:val="auto"/>
                      <w:highlight w:val="none"/>
                    </w:rPr>
                    <w:t>（TA001）</w:t>
                  </w:r>
                </w:p>
              </w:tc>
              <w:tc>
                <w:tcPr>
                  <w:tcW w:w="874" w:type="dxa"/>
                  <w:noWrap w:val="0"/>
                  <w:vAlign w:val="center"/>
                </w:tcPr>
                <w:p w14:paraId="678EB305">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DA001</w:t>
                  </w:r>
                </w:p>
              </w:tc>
              <w:tc>
                <w:tcPr>
                  <w:tcW w:w="1028" w:type="dxa"/>
                  <w:noWrap w:val="0"/>
                  <w:vAlign w:val="center"/>
                </w:tcPr>
                <w:p w14:paraId="235D2D18">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75000</w:t>
                  </w:r>
                </w:p>
              </w:tc>
            </w:tr>
            <w:tr w14:paraId="757C79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Merge w:val="continue"/>
                  <w:noWrap w:val="0"/>
                  <w:vAlign w:val="center"/>
                </w:tcPr>
                <w:p w14:paraId="6511C63A">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rPr>
                  </w:pPr>
                </w:p>
              </w:tc>
              <w:tc>
                <w:tcPr>
                  <w:tcW w:w="1085" w:type="dxa"/>
                  <w:noWrap w:val="0"/>
                  <w:vAlign w:val="center"/>
                </w:tcPr>
                <w:p w14:paraId="2D331EB6">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757" w:type="dxa"/>
                  <w:vMerge w:val="continue"/>
                  <w:noWrap w:val="0"/>
                  <w:vAlign w:val="center"/>
                </w:tcPr>
                <w:p w14:paraId="4C048A48">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rPr>
                  </w:pPr>
                </w:p>
              </w:tc>
              <w:tc>
                <w:tcPr>
                  <w:tcW w:w="525" w:type="dxa"/>
                  <w:vMerge w:val="continue"/>
                  <w:noWrap w:val="0"/>
                  <w:vAlign w:val="center"/>
                </w:tcPr>
                <w:p w14:paraId="105FE937">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815" w:type="dxa"/>
                  <w:noWrap w:val="0"/>
                  <w:vAlign w:val="center"/>
                </w:tcPr>
                <w:p w14:paraId="3A551E33">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151" w:type="dxa"/>
                  <w:vMerge w:val="continue"/>
                  <w:noWrap w:val="0"/>
                  <w:vAlign w:val="center"/>
                </w:tcPr>
                <w:p w14:paraId="1C786EC4">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427" w:type="dxa"/>
                  <w:noWrap w:val="0"/>
                  <w:vAlign w:val="center"/>
                </w:tcPr>
                <w:p w14:paraId="0A87BB17">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95</w:t>
                  </w:r>
                  <w:r>
                    <w:rPr>
                      <w:rFonts w:hint="default" w:ascii="Times New Roman" w:hAnsi="Times New Roman" w:cs="Times New Roman"/>
                      <w:color w:val="auto"/>
                      <w:highlight w:val="none"/>
                    </w:rPr>
                    <w:t>（TA00</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p>
              </w:tc>
              <w:tc>
                <w:tcPr>
                  <w:tcW w:w="874" w:type="dxa"/>
                  <w:noWrap w:val="0"/>
                  <w:vAlign w:val="center"/>
                </w:tcPr>
                <w:p w14:paraId="4383750A">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DA00</w:t>
                  </w:r>
                  <w:r>
                    <w:rPr>
                      <w:rFonts w:hint="default" w:ascii="Times New Roman" w:hAnsi="Times New Roman" w:cs="Times New Roman"/>
                      <w:color w:val="auto"/>
                      <w:highlight w:val="none"/>
                      <w:lang w:val="en-US" w:eastAsia="zh-CN"/>
                    </w:rPr>
                    <w:t>2</w:t>
                  </w:r>
                </w:p>
              </w:tc>
              <w:tc>
                <w:tcPr>
                  <w:tcW w:w="1028" w:type="dxa"/>
                  <w:noWrap w:val="0"/>
                  <w:vAlign w:val="center"/>
                </w:tcPr>
                <w:p w14:paraId="04A07DDE">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75000</w:t>
                  </w:r>
                </w:p>
              </w:tc>
            </w:tr>
            <w:tr w14:paraId="72189F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Merge w:val="continue"/>
                  <w:noWrap w:val="0"/>
                  <w:vAlign w:val="center"/>
                </w:tcPr>
                <w:p w14:paraId="1A3ABF8D">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085" w:type="dxa"/>
                  <w:noWrap w:val="0"/>
                  <w:vAlign w:val="center"/>
                </w:tcPr>
                <w:p w14:paraId="3D86355B">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757" w:type="dxa"/>
                  <w:vMerge w:val="continue"/>
                  <w:noWrap w:val="0"/>
                  <w:vAlign w:val="center"/>
                </w:tcPr>
                <w:p w14:paraId="40B3A006">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525" w:type="dxa"/>
                  <w:vMerge w:val="continue"/>
                  <w:noWrap w:val="0"/>
                  <w:vAlign w:val="center"/>
                </w:tcPr>
                <w:p w14:paraId="3A44A54B">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815" w:type="dxa"/>
                  <w:noWrap w:val="0"/>
                  <w:vAlign w:val="center"/>
                </w:tcPr>
                <w:p w14:paraId="393F59EE">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151" w:type="dxa"/>
                  <w:vMerge w:val="continue"/>
                  <w:noWrap w:val="0"/>
                  <w:vAlign w:val="center"/>
                </w:tcPr>
                <w:p w14:paraId="4913EF09">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427" w:type="dxa"/>
                  <w:noWrap w:val="0"/>
                  <w:vAlign w:val="center"/>
                </w:tcPr>
                <w:p w14:paraId="4E453D8B">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95</w:t>
                  </w:r>
                  <w:r>
                    <w:rPr>
                      <w:rFonts w:hint="default" w:ascii="Times New Roman" w:hAnsi="Times New Roman" w:cs="Times New Roman"/>
                      <w:color w:val="auto"/>
                      <w:highlight w:val="none"/>
                    </w:rPr>
                    <w:t>（TA00</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p>
              </w:tc>
              <w:tc>
                <w:tcPr>
                  <w:tcW w:w="874" w:type="dxa"/>
                  <w:noWrap w:val="0"/>
                  <w:vAlign w:val="center"/>
                </w:tcPr>
                <w:p w14:paraId="37A8D57C">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DA00</w:t>
                  </w:r>
                  <w:r>
                    <w:rPr>
                      <w:rFonts w:hint="default" w:ascii="Times New Roman" w:hAnsi="Times New Roman" w:cs="Times New Roman"/>
                      <w:color w:val="auto"/>
                      <w:highlight w:val="none"/>
                      <w:lang w:val="en-US" w:eastAsia="zh-CN"/>
                    </w:rPr>
                    <w:t>3</w:t>
                  </w:r>
                </w:p>
              </w:tc>
              <w:tc>
                <w:tcPr>
                  <w:tcW w:w="1028" w:type="dxa"/>
                  <w:noWrap w:val="0"/>
                  <w:vAlign w:val="center"/>
                </w:tcPr>
                <w:p w14:paraId="03897251">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75000</w:t>
                  </w:r>
                </w:p>
              </w:tc>
            </w:tr>
            <w:tr w14:paraId="645A04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Merge w:val="continue"/>
                  <w:noWrap w:val="0"/>
                  <w:vAlign w:val="center"/>
                </w:tcPr>
                <w:p w14:paraId="7A2FCA38">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085" w:type="dxa"/>
                  <w:noWrap w:val="0"/>
                  <w:vAlign w:val="center"/>
                </w:tcPr>
                <w:p w14:paraId="4945FA95">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757" w:type="dxa"/>
                  <w:vMerge w:val="continue"/>
                  <w:noWrap w:val="0"/>
                  <w:vAlign w:val="center"/>
                </w:tcPr>
                <w:p w14:paraId="0DCC20F4">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525" w:type="dxa"/>
                  <w:vMerge w:val="continue"/>
                  <w:noWrap w:val="0"/>
                  <w:vAlign w:val="center"/>
                </w:tcPr>
                <w:p w14:paraId="65E6944F">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815" w:type="dxa"/>
                  <w:noWrap w:val="0"/>
                  <w:vAlign w:val="center"/>
                </w:tcPr>
                <w:p w14:paraId="67C2421E">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151" w:type="dxa"/>
                  <w:vMerge w:val="continue"/>
                  <w:noWrap w:val="0"/>
                  <w:vAlign w:val="center"/>
                </w:tcPr>
                <w:p w14:paraId="11445E3E">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427" w:type="dxa"/>
                  <w:noWrap w:val="0"/>
                  <w:vAlign w:val="center"/>
                </w:tcPr>
                <w:p w14:paraId="24D580D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95</w:t>
                  </w:r>
                  <w:r>
                    <w:rPr>
                      <w:rFonts w:hint="default" w:ascii="Times New Roman" w:hAnsi="Times New Roman" w:cs="Times New Roman"/>
                      <w:color w:val="auto"/>
                      <w:highlight w:val="none"/>
                    </w:rPr>
                    <w:t>（TA00</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w:t>
                  </w:r>
                </w:p>
              </w:tc>
              <w:tc>
                <w:tcPr>
                  <w:tcW w:w="874" w:type="dxa"/>
                  <w:noWrap w:val="0"/>
                  <w:vAlign w:val="center"/>
                </w:tcPr>
                <w:p w14:paraId="6DFD081B">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DA00</w:t>
                  </w:r>
                  <w:r>
                    <w:rPr>
                      <w:rFonts w:hint="default" w:ascii="Times New Roman" w:hAnsi="Times New Roman" w:cs="Times New Roman"/>
                      <w:color w:val="auto"/>
                      <w:highlight w:val="none"/>
                      <w:lang w:val="en-US" w:eastAsia="zh-CN"/>
                    </w:rPr>
                    <w:t>4</w:t>
                  </w:r>
                </w:p>
              </w:tc>
              <w:tc>
                <w:tcPr>
                  <w:tcW w:w="1028" w:type="dxa"/>
                  <w:noWrap w:val="0"/>
                  <w:vAlign w:val="center"/>
                </w:tcPr>
                <w:p w14:paraId="6E49E552">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75000</w:t>
                  </w:r>
                </w:p>
              </w:tc>
            </w:tr>
            <w:tr w14:paraId="083501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Merge w:val="continue"/>
                  <w:noWrap w:val="0"/>
                  <w:vAlign w:val="center"/>
                </w:tcPr>
                <w:p w14:paraId="242F3C0A">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085" w:type="dxa"/>
                  <w:noWrap w:val="0"/>
                  <w:vAlign w:val="center"/>
                </w:tcPr>
                <w:p w14:paraId="60632828">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757" w:type="dxa"/>
                  <w:vMerge w:val="continue"/>
                  <w:noWrap w:val="0"/>
                  <w:vAlign w:val="center"/>
                </w:tcPr>
                <w:p w14:paraId="60B8B98D">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525" w:type="dxa"/>
                  <w:vMerge w:val="continue"/>
                  <w:noWrap w:val="0"/>
                  <w:vAlign w:val="center"/>
                </w:tcPr>
                <w:p w14:paraId="3A3E808B">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815" w:type="dxa"/>
                  <w:noWrap w:val="0"/>
                  <w:vAlign w:val="center"/>
                </w:tcPr>
                <w:p w14:paraId="1DE277D1">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151" w:type="dxa"/>
                  <w:vMerge w:val="continue"/>
                  <w:noWrap w:val="0"/>
                  <w:vAlign w:val="center"/>
                </w:tcPr>
                <w:p w14:paraId="6523917D">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427" w:type="dxa"/>
                  <w:noWrap w:val="0"/>
                  <w:vAlign w:val="center"/>
                </w:tcPr>
                <w:p w14:paraId="2D1A91A1">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95</w:t>
                  </w:r>
                  <w:r>
                    <w:rPr>
                      <w:rFonts w:hint="default" w:ascii="Times New Roman" w:hAnsi="Times New Roman" w:cs="Times New Roman"/>
                      <w:color w:val="auto"/>
                      <w:highlight w:val="none"/>
                    </w:rPr>
                    <w:t>（TA00</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p>
              </w:tc>
              <w:tc>
                <w:tcPr>
                  <w:tcW w:w="874" w:type="dxa"/>
                  <w:noWrap w:val="0"/>
                  <w:vAlign w:val="center"/>
                </w:tcPr>
                <w:p w14:paraId="42DEA8D1">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DA00</w:t>
                  </w:r>
                  <w:r>
                    <w:rPr>
                      <w:rFonts w:hint="default" w:ascii="Times New Roman" w:hAnsi="Times New Roman" w:cs="Times New Roman"/>
                      <w:color w:val="auto"/>
                      <w:highlight w:val="none"/>
                      <w:lang w:val="en-US" w:eastAsia="zh-CN"/>
                    </w:rPr>
                    <w:t>5</w:t>
                  </w:r>
                </w:p>
              </w:tc>
              <w:tc>
                <w:tcPr>
                  <w:tcW w:w="1028" w:type="dxa"/>
                  <w:noWrap w:val="0"/>
                  <w:vAlign w:val="center"/>
                </w:tcPr>
                <w:p w14:paraId="2C390110">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75000</w:t>
                  </w:r>
                </w:p>
              </w:tc>
            </w:tr>
            <w:tr w14:paraId="77F793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Merge w:val="restart"/>
                  <w:noWrap w:val="0"/>
                  <w:vAlign w:val="center"/>
                </w:tcPr>
                <w:p w14:paraId="63D17D52">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卫生巾生产线</w:t>
                  </w:r>
                </w:p>
              </w:tc>
              <w:tc>
                <w:tcPr>
                  <w:tcW w:w="1085" w:type="dxa"/>
                  <w:noWrap w:val="0"/>
                  <w:vAlign w:val="center"/>
                </w:tcPr>
                <w:p w14:paraId="75608ED1">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w:t>
                  </w:r>
                </w:p>
              </w:tc>
              <w:tc>
                <w:tcPr>
                  <w:tcW w:w="757" w:type="dxa"/>
                  <w:vMerge w:val="continue"/>
                  <w:noWrap w:val="0"/>
                  <w:vAlign w:val="center"/>
                </w:tcPr>
                <w:p w14:paraId="69E09A8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Cs/>
                      <w:color w:val="auto"/>
                      <w:szCs w:val="21"/>
                      <w:highlight w:val="none"/>
                      <w:lang w:val="en-US" w:eastAsia="zh-CN"/>
                    </w:rPr>
                  </w:pPr>
                </w:p>
              </w:tc>
              <w:tc>
                <w:tcPr>
                  <w:tcW w:w="525" w:type="dxa"/>
                  <w:vMerge w:val="restart"/>
                  <w:noWrap w:val="0"/>
                  <w:vAlign w:val="center"/>
                </w:tcPr>
                <w:p w14:paraId="7961CEEA">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815" w:type="dxa"/>
                  <w:noWrap w:val="0"/>
                  <w:vAlign w:val="center"/>
                </w:tcPr>
                <w:p w14:paraId="1FCEA721">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151" w:type="dxa"/>
                  <w:vMerge w:val="continue"/>
                  <w:noWrap w:val="0"/>
                  <w:vAlign w:val="center"/>
                </w:tcPr>
                <w:p w14:paraId="61DC0F4C">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p>
              </w:tc>
              <w:tc>
                <w:tcPr>
                  <w:tcW w:w="1427" w:type="dxa"/>
                  <w:noWrap w:val="0"/>
                  <w:vAlign w:val="center"/>
                </w:tcPr>
                <w:p w14:paraId="65C027FA">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95</w:t>
                  </w:r>
                  <w:r>
                    <w:rPr>
                      <w:rFonts w:hint="default" w:ascii="Times New Roman" w:hAnsi="Times New Roman" w:cs="Times New Roman"/>
                      <w:color w:val="auto"/>
                      <w:highlight w:val="none"/>
                    </w:rPr>
                    <w:t>（TA00</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p>
              </w:tc>
              <w:tc>
                <w:tcPr>
                  <w:tcW w:w="874" w:type="dxa"/>
                  <w:noWrap w:val="0"/>
                  <w:vAlign w:val="center"/>
                </w:tcPr>
                <w:p w14:paraId="35CC4BF8">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DA00</w:t>
                  </w:r>
                  <w:r>
                    <w:rPr>
                      <w:rFonts w:hint="default" w:ascii="Times New Roman" w:hAnsi="Times New Roman" w:cs="Times New Roman"/>
                      <w:color w:val="auto"/>
                      <w:highlight w:val="none"/>
                      <w:lang w:val="en-US" w:eastAsia="zh-CN"/>
                    </w:rPr>
                    <w:t>6</w:t>
                  </w:r>
                </w:p>
              </w:tc>
              <w:tc>
                <w:tcPr>
                  <w:tcW w:w="1028" w:type="dxa"/>
                  <w:noWrap w:val="0"/>
                  <w:vAlign w:val="center"/>
                </w:tcPr>
                <w:p w14:paraId="63E91082">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75000</w:t>
                  </w:r>
                </w:p>
              </w:tc>
            </w:tr>
            <w:tr w14:paraId="69AD9A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vMerge w:val="continue"/>
                  <w:noWrap w:val="0"/>
                  <w:vAlign w:val="center"/>
                </w:tcPr>
                <w:p w14:paraId="4243CDF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Cs/>
                      <w:color w:val="auto"/>
                      <w:szCs w:val="21"/>
                      <w:highlight w:val="none"/>
                      <w:lang w:val="en-US" w:eastAsia="zh-CN"/>
                    </w:rPr>
                  </w:pPr>
                </w:p>
              </w:tc>
              <w:tc>
                <w:tcPr>
                  <w:tcW w:w="1085" w:type="dxa"/>
                  <w:noWrap w:val="0"/>
                  <w:vAlign w:val="center"/>
                </w:tcPr>
                <w:p w14:paraId="70C3915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w:t>
                  </w:r>
                </w:p>
              </w:tc>
              <w:tc>
                <w:tcPr>
                  <w:tcW w:w="757" w:type="dxa"/>
                  <w:vMerge w:val="continue"/>
                  <w:noWrap w:val="0"/>
                  <w:vAlign w:val="center"/>
                </w:tcPr>
                <w:p w14:paraId="22E665C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Cs/>
                      <w:color w:val="auto"/>
                      <w:szCs w:val="21"/>
                      <w:highlight w:val="none"/>
                      <w:lang w:val="en-US" w:eastAsia="zh-CN"/>
                    </w:rPr>
                  </w:pPr>
                </w:p>
              </w:tc>
              <w:tc>
                <w:tcPr>
                  <w:tcW w:w="525" w:type="dxa"/>
                  <w:vMerge w:val="continue"/>
                  <w:noWrap w:val="0"/>
                  <w:vAlign w:val="center"/>
                </w:tcPr>
                <w:p w14:paraId="5D38278E">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815" w:type="dxa"/>
                  <w:noWrap w:val="0"/>
                  <w:vAlign w:val="center"/>
                </w:tcPr>
                <w:p w14:paraId="21616552">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151" w:type="dxa"/>
                  <w:vMerge w:val="continue"/>
                  <w:noWrap w:val="0"/>
                  <w:vAlign w:val="center"/>
                </w:tcPr>
                <w:p w14:paraId="7930D582">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p>
              </w:tc>
              <w:tc>
                <w:tcPr>
                  <w:tcW w:w="1427" w:type="dxa"/>
                  <w:noWrap w:val="0"/>
                  <w:vAlign w:val="center"/>
                </w:tcPr>
                <w:p w14:paraId="644946EF">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95</w:t>
                  </w:r>
                  <w:r>
                    <w:rPr>
                      <w:rFonts w:hint="default" w:ascii="Times New Roman" w:hAnsi="Times New Roman" w:cs="Times New Roman"/>
                      <w:color w:val="auto"/>
                      <w:highlight w:val="none"/>
                    </w:rPr>
                    <w:t>（TA00</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w:t>
                  </w:r>
                </w:p>
              </w:tc>
              <w:tc>
                <w:tcPr>
                  <w:tcW w:w="874" w:type="dxa"/>
                  <w:noWrap w:val="0"/>
                  <w:vAlign w:val="center"/>
                </w:tcPr>
                <w:p w14:paraId="7762353C">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DA00</w:t>
                  </w:r>
                  <w:r>
                    <w:rPr>
                      <w:rFonts w:hint="default" w:ascii="Times New Roman" w:hAnsi="Times New Roman" w:cs="Times New Roman"/>
                      <w:color w:val="auto"/>
                      <w:highlight w:val="none"/>
                      <w:lang w:val="en-US" w:eastAsia="zh-CN"/>
                    </w:rPr>
                    <w:t>7</w:t>
                  </w:r>
                </w:p>
              </w:tc>
              <w:tc>
                <w:tcPr>
                  <w:tcW w:w="1028" w:type="dxa"/>
                  <w:noWrap w:val="0"/>
                  <w:vAlign w:val="center"/>
                </w:tcPr>
                <w:p w14:paraId="0AB4F93A">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75000</w:t>
                  </w:r>
                </w:p>
              </w:tc>
            </w:tr>
            <w:tr w14:paraId="1069B8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16" w:type="dxa"/>
                  <w:vMerge w:val="continue"/>
                  <w:noWrap w:val="0"/>
                  <w:vAlign w:val="center"/>
                </w:tcPr>
                <w:p w14:paraId="17BBF85A">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Cs/>
                      <w:color w:val="auto"/>
                      <w:szCs w:val="21"/>
                      <w:highlight w:val="none"/>
                      <w:lang w:val="en-US" w:eastAsia="zh-CN"/>
                    </w:rPr>
                  </w:pPr>
                </w:p>
              </w:tc>
              <w:tc>
                <w:tcPr>
                  <w:tcW w:w="1085" w:type="dxa"/>
                  <w:noWrap w:val="0"/>
                  <w:vAlign w:val="center"/>
                </w:tcPr>
                <w:p w14:paraId="7068106F">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w:t>
                  </w:r>
                </w:p>
              </w:tc>
              <w:tc>
                <w:tcPr>
                  <w:tcW w:w="757" w:type="dxa"/>
                  <w:vMerge w:val="continue"/>
                  <w:noWrap w:val="0"/>
                  <w:vAlign w:val="center"/>
                </w:tcPr>
                <w:p w14:paraId="7C35038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Cs/>
                      <w:color w:val="auto"/>
                      <w:szCs w:val="21"/>
                      <w:highlight w:val="none"/>
                      <w:lang w:val="en-US" w:eastAsia="zh-CN"/>
                    </w:rPr>
                  </w:pPr>
                </w:p>
              </w:tc>
              <w:tc>
                <w:tcPr>
                  <w:tcW w:w="525" w:type="dxa"/>
                  <w:vMerge w:val="continue"/>
                  <w:noWrap w:val="0"/>
                  <w:vAlign w:val="center"/>
                </w:tcPr>
                <w:p w14:paraId="6BA70609">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815" w:type="dxa"/>
                  <w:noWrap w:val="0"/>
                  <w:vAlign w:val="center"/>
                </w:tcPr>
                <w:p w14:paraId="3C01BC67">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lang w:val="en-US" w:eastAsia="zh-CN"/>
                    </w:rPr>
                  </w:pPr>
                </w:p>
              </w:tc>
              <w:tc>
                <w:tcPr>
                  <w:tcW w:w="1151" w:type="dxa"/>
                  <w:vMerge w:val="continue"/>
                  <w:noWrap w:val="0"/>
                  <w:vAlign w:val="center"/>
                </w:tcPr>
                <w:p w14:paraId="6FAFE731">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p>
              </w:tc>
              <w:tc>
                <w:tcPr>
                  <w:tcW w:w="1427" w:type="dxa"/>
                  <w:noWrap w:val="0"/>
                  <w:vAlign w:val="center"/>
                </w:tcPr>
                <w:p w14:paraId="4BA47D6A">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95</w:t>
                  </w:r>
                  <w:r>
                    <w:rPr>
                      <w:rFonts w:hint="default" w:ascii="Times New Roman" w:hAnsi="Times New Roman" w:cs="Times New Roman"/>
                      <w:color w:val="auto"/>
                      <w:highlight w:val="none"/>
                    </w:rPr>
                    <w:t>（TA00</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w:t>
                  </w:r>
                </w:p>
              </w:tc>
              <w:tc>
                <w:tcPr>
                  <w:tcW w:w="874" w:type="dxa"/>
                  <w:noWrap w:val="0"/>
                  <w:vAlign w:val="center"/>
                </w:tcPr>
                <w:p w14:paraId="476B7014">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DA00</w:t>
                  </w:r>
                  <w:r>
                    <w:rPr>
                      <w:rFonts w:hint="default" w:ascii="Times New Roman" w:hAnsi="Times New Roman" w:cs="Times New Roman"/>
                      <w:color w:val="auto"/>
                      <w:highlight w:val="none"/>
                      <w:lang w:val="en-US" w:eastAsia="zh-CN"/>
                    </w:rPr>
                    <w:t>8</w:t>
                  </w:r>
                </w:p>
              </w:tc>
              <w:tc>
                <w:tcPr>
                  <w:tcW w:w="1028" w:type="dxa"/>
                  <w:noWrap w:val="0"/>
                  <w:vAlign w:val="center"/>
                </w:tcPr>
                <w:p w14:paraId="1CE94BAD">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75000</w:t>
                  </w:r>
                </w:p>
              </w:tc>
            </w:tr>
            <w:tr w14:paraId="39B8A6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8378" w:type="dxa"/>
                  <w:gridSpan w:val="9"/>
                  <w:noWrap w:val="0"/>
                  <w:vAlign w:val="center"/>
                </w:tcPr>
                <w:p w14:paraId="032530F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注：①《主要污染物总量减排核算技术指南（2022年修订）》（环办综合函〔2022〕350号）中“表2-3VOCs废气收集率和治理设施去除率通用系数”</w:t>
                  </w:r>
                  <w:r>
                    <w:rPr>
                      <w:rFonts w:hint="default" w:ascii="Times New Roman" w:hAnsi="Times New Roman" w:cs="Times New Roman"/>
                      <w:color w:val="auto"/>
                      <w:sz w:val="18"/>
                      <w:szCs w:val="18"/>
                      <w:lang w:val="en-US" w:eastAsia="zh-CN"/>
                    </w:rPr>
                    <w:t>。</w:t>
                  </w:r>
                </w:p>
              </w:tc>
            </w:tr>
          </w:tbl>
          <w:p w14:paraId="76FB5C31">
            <w:pPr>
              <w:keepNext w:val="0"/>
              <w:keepLines/>
              <w:suppressLineNumbers w:val="0"/>
              <w:spacing w:before="0" w:beforeAutospacing="0" w:after="0" w:afterAutospacing="0"/>
              <w:ind w:left="0" w:right="0" w:firstLine="420" w:firstLineChars="200"/>
              <w:rPr>
                <w:rFonts w:hint="eastAsia" w:ascii="宋体" w:hAnsi="宋体" w:cs="宋体"/>
                <w:color w:val="auto"/>
                <w:szCs w:val="21"/>
                <w:highlight w:val="none"/>
              </w:rPr>
            </w:pPr>
            <w:r>
              <w:rPr>
                <w:rFonts w:hint="eastAsia"/>
                <w:color w:val="auto"/>
                <w:szCs w:val="21"/>
                <w:highlight w:val="none"/>
                <w:lang w:val="en-US" w:eastAsia="zh-CN"/>
              </w:rPr>
              <w:t>项目生产线均为密闭生产线，木浆粉碎及芯体成型粉尘收集后分别进入“脉冲布袋除尘器”进行处理，通过15m高排气筒排放。每条裤型卫生巾生产线配备一台“脉冲布袋除尘器”（TA001~TA005），每4条卫生巾生产线配备一台“脉冲布袋除尘器”（TA006~TA008）。</w:t>
            </w:r>
            <w:r>
              <w:rPr>
                <w:rFonts w:hint="eastAsia"/>
                <w:color w:val="auto"/>
                <w:szCs w:val="21"/>
                <w:highlight w:val="none"/>
              </w:rPr>
              <w:t>废气排放情况见</w:t>
            </w:r>
            <w:r>
              <w:rPr>
                <w:rFonts w:hint="eastAsia"/>
                <w:b/>
                <w:bCs/>
                <w:color w:val="auto"/>
                <w:szCs w:val="21"/>
                <w:highlight w:val="none"/>
              </w:rPr>
              <w:t>表4-</w:t>
            </w:r>
            <w:r>
              <w:rPr>
                <w:rFonts w:hint="eastAsia"/>
                <w:b/>
                <w:bCs/>
                <w:color w:val="auto"/>
                <w:szCs w:val="21"/>
                <w:highlight w:val="none"/>
                <w:lang w:val="en-US" w:eastAsia="zh-CN"/>
              </w:rPr>
              <w:t>8</w:t>
            </w:r>
            <w:r>
              <w:rPr>
                <w:rFonts w:hint="eastAsia"/>
                <w:color w:val="auto"/>
                <w:szCs w:val="21"/>
                <w:highlight w:val="none"/>
              </w:rPr>
              <w:t>：</w:t>
            </w:r>
          </w:p>
          <w:p w14:paraId="609BBE3D">
            <w:pPr>
              <w:pStyle w:val="31"/>
              <w:keepNext w:val="0"/>
              <w:keepLines w:val="0"/>
              <w:suppressLineNumbers w:val="0"/>
              <w:spacing w:before="0" w:beforeAutospacing="0" w:after="0" w:afterAutospacing="0" w:line="240" w:lineRule="auto"/>
              <w:ind w:left="0" w:right="0" w:firstLine="0" w:firstLineChars="0"/>
              <w:jc w:val="center"/>
              <w:rPr>
                <w:rFonts w:hint="default" w:cs="Times New Roman"/>
                <w:b/>
                <w:color w:val="auto"/>
                <w:sz w:val="21"/>
                <w:szCs w:val="21"/>
                <w:highlight w:val="none"/>
              </w:rPr>
            </w:pPr>
            <w:r>
              <w:rPr>
                <w:rFonts w:hint="default"/>
                <w:b/>
                <w:bCs/>
                <w:color w:val="auto"/>
                <w:sz w:val="21"/>
                <w:szCs w:val="21"/>
                <w:highlight w:val="none"/>
              </w:rPr>
              <w:t>表</w:t>
            </w:r>
            <w:r>
              <w:rPr>
                <w:rFonts w:hint="eastAsia"/>
                <w:b/>
                <w:bCs/>
                <w:color w:val="auto"/>
                <w:sz w:val="21"/>
                <w:szCs w:val="21"/>
                <w:highlight w:val="none"/>
              </w:rPr>
              <w:t>4</w:t>
            </w:r>
            <w:r>
              <w:rPr>
                <w:rFonts w:hint="default"/>
                <w:b/>
                <w:bCs/>
                <w:color w:val="auto"/>
                <w:sz w:val="21"/>
                <w:szCs w:val="21"/>
                <w:highlight w:val="none"/>
              </w:rPr>
              <w:t>-</w:t>
            </w:r>
            <w:r>
              <w:rPr>
                <w:rFonts w:hint="eastAsia"/>
                <w:b/>
                <w:bCs/>
                <w:color w:val="auto"/>
                <w:sz w:val="21"/>
                <w:szCs w:val="21"/>
                <w:highlight w:val="none"/>
                <w:lang w:val="en-US" w:eastAsia="zh-CN"/>
              </w:rPr>
              <w:t>8</w:t>
            </w:r>
            <w:r>
              <w:rPr>
                <w:rFonts w:hint="default"/>
                <w:b/>
                <w:bCs/>
                <w:color w:val="auto"/>
                <w:sz w:val="21"/>
                <w:szCs w:val="21"/>
                <w:highlight w:val="none"/>
              </w:rPr>
              <w:t xml:space="preserve"> </w:t>
            </w:r>
            <w:r>
              <w:rPr>
                <w:rFonts w:hint="eastAsia"/>
                <w:b/>
                <w:bCs/>
                <w:color w:val="auto"/>
                <w:sz w:val="21"/>
                <w:szCs w:val="21"/>
                <w:highlight w:val="none"/>
              </w:rPr>
              <w:t xml:space="preserve"> </w:t>
            </w:r>
            <w:r>
              <w:rPr>
                <w:rFonts w:hint="default" w:cs="Times New Roman"/>
                <w:b/>
                <w:color w:val="auto"/>
                <w:sz w:val="21"/>
                <w:szCs w:val="21"/>
                <w:highlight w:val="none"/>
                <w:lang w:val="zh-CN"/>
              </w:rPr>
              <w:t>项</w:t>
            </w:r>
            <w:r>
              <w:rPr>
                <w:rFonts w:hint="eastAsia" w:cs="Times New Roman"/>
                <w:b/>
                <w:color w:val="auto"/>
                <w:sz w:val="21"/>
                <w:szCs w:val="21"/>
                <w:highlight w:val="none"/>
              </w:rPr>
              <w:t>目废气污染物</w:t>
            </w:r>
            <w:r>
              <w:rPr>
                <w:rFonts w:hint="eastAsia"/>
                <w:b/>
                <w:bCs/>
                <w:color w:val="auto"/>
                <w:sz w:val="21"/>
                <w:szCs w:val="21"/>
                <w:highlight w:val="none"/>
              </w:rPr>
              <w:t>排放</w:t>
            </w:r>
            <w:r>
              <w:rPr>
                <w:rFonts w:hint="default" w:cs="Times New Roman"/>
                <w:b/>
                <w:color w:val="auto"/>
                <w:sz w:val="21"/>
                <w:szCs w:val="21"/>
                <w:highlight w:val="none"/>
                <w:lang w:val="zh-CN"/>
              </w:rPr>
              <w:t>源强一览表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45"/>
              <w:gridCol w:w="661"/>
              <w:gridCol w:w="765"/>
              <w:gridCol w:w="808"/>
              <w:gridCol w:w="834"/>
              <w:gridCol w:w="681"/>
              <w:gridCol w:w="757"/>
              <w:gridCol w:w="757"/>
              <w:gridCol w:w="868"/>
              <w:gridCol w:w="661"/>
            </w:tblGrid>
            <w:tr w14:paraId="3E4446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vMerge w:val="restart"/>
                  <w:tcBorders>
                    <w:tl2br w:val="nil"/>
                    <w:tr2bl w:val="nil"/>
                  </w:tcBorders>
                  <w:noWrap w:val="0"/>
                  <w:vAlign w:val="center"/>
                </w:tcPr>
                <w:p w14:paraId="32247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default"/>
                      <w:b/>
                      <w:bCs/>
                      <w:color w:val="auto"/>
                      <w:kern w:val="0"/>
                      <w:szCs w:val="21"/>
                      <w:highlight w:val="none"/>
                    </w:rPr>
                    <w:t>污染源</w:t>
                  </w:r>
                </w:p>
              </w:tc>
              <w:tc>
                <w:tcPr>
                  <w:tcW w:w="645" w:type="dxa"/>
                  <w:vMerge w:val="restart"/>
                  <w:tcBorders>
                    <w:tl2br w:val="nil"/>
                    <w:tr2bl w:val="nil"/>
                  </w:tcBorders>
                  <w:noWrap w:val="0"/>
                  <w:vAlign w:val="center"/>
                </w:tcPr>
                <w:p w14:paraId="54169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default"/>
                      <w:b/>
                      <w:bCs/>
                      <w:color w:val="auto"/>
                      <w:kern w:val="0"/>
                      <w:szCs w:val="21"/>
                      <w:highlight w:val="none"/>
                    </w:rPr>
                    <w:t>污染物种类</w:t>
                  </w:r>
                </w:p>
              </w:tc>
              <w:tc>
                <w:tcPr>
                  <w:tcW w:w="3068" w:type="dxa"/>
                  <w:gridSpan w:val="4"/>
                  <w:tcBorders>
                    <w:tl2br w:val="nil"/>
                    <w:tr2bl w:val="nil"/>
                  </w:tcBorders>
                  <w:noWrap w:val="0"/>
                  <w:vAlign w:val="center"/>
                </w:tcPr>
                <w:p w14:paraId="29DEA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eastAsia"/>
                      <w:b/>
                      <w:bCs/>
                      <w:color w:val="auto"/>
                      <w:kern w:val="0"/>
                      <w:szCs w:val="21"/>
                      <w:highlight w:val="none"/>
                    </w:rPr>
                    <w:t>产生</w:t>
                  </w:r>
                  <w:r>
                    <w:rPr>
                      <w:rFonts w:hint="default"/>
                      <w:b/>
                      <w:bCs/>
                      <w:color w:val="auto"/>
                      <w:kern w:val="0"/>
                      <w:szCs w:val="21"/>
                      <w:highlight w:val="none"/>
                    </w:rPr>
                    <w:t>情况</w:t>
                  </w:r>
                  <w:r>
                    <w:rPr>
                      <w:rFonts w:hint="eastAsia"/>
                      <w:b/>
                      <w:bCs/>
                      <w:color w:val="auto"/>
                      <w:kern w:val="0"/>
                      <w:szCs w:val="21"/>
                      <w:highlight w:val="none"/>
                    </w:rPr>
                    <w:t>或收集情况</w:t>
                  </w:r>
                </w:p>
              </w:tc>
              <w:tc>
                <w:tcPr>
                  <w:tcW w:w="3063" w:type="dxa"/>
                  <w:gridSpan w:val="4"/>
                  <w:tcBorders>
                    <w:tl2br w:val="nil"/>
                    <w:tr2bl w:val="nil"/>
                  </w:tcBorders>
                  <w:noWrap w:val="0"/>
                  <w:vAlign w:val="center"/>
                </w:tcPr>
                <w:p w14:paraId="210D2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default"/>
                      <w:b/>
                      <w:bCs/>
                      <w:color w:val="auto"/>
                      <w:kern w:val="0"/>
                      <w:szCs w:val="21"/>
                      <w:highlight w:val="none"/>
                    </w:rPr>
                    <w:t>排放情况</w:t>
                  </w:r>
                </w:p>
              </w:tc>
              <w:tc>
                <w:tcPr>
                  <w:tcW w:w="661" w:type="dxa"/>
                  <w:vMerge w:val="restart"/>
                  <w:tcBorders>
                    <w:tl2br w:val="nil"/>
                    <w:tr2bl w:val="nil"/>
                  </w:tcBorders>
                  <w:noWrap w:val="0"/>
                  <w:vAlign w:val="center"/>
                </w:tcPr>
                <w:p w14:paraId="1D161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default"/>
                      <w:b/>
                      <w:bCs/>
                      <w:color w:val="auto"/>
                      <w:kern w:val="0"/>
                      <w:szCs w:val="21"/>
                      <w:highlight w:val="none"/>
                    </w:rPr>
                    <w:t>排放时间</w:t>
                  </w:r>
                </w:p>
                <w:p w14:paraId="50EDB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default"/>
                      <w:b/>
                      <w:bCs/>
                      <w:color w:val="auto"/>
                      <w:kern w:val="0"/>
                      <w:szCs w:val="21"/>
                      <w:highlight w:val="none"/>
                    </w:rPr>
                    <w:t>h</w:t>
                  </w:r>
                </w:p>
              </w:tc>
            </w:tr>
            <w:tr w14:paraId="07222B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vMerge w:val="continue"/>
                  <w:tcBorders>
                    <w:tl2br w:val="nil"/>
                    <w:tr2bl w:val="nil"/>
                  </w:tcBorders>
                  <w:noWrap w:val="0"/>
                  <w:vAlign w:val="center"/>
                </w:tcPr>
                <w:p w14:paraId="46E51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p>
              </w:tc>
              <w:tc>
                <w:tcPr>
                  <w:tcW w:w="645" w:type="dxa"/>
                  <w:vMerge w:val="continue"/>
                  <w:tcBorders>
                    <w:tl2br w:val="nil"/>
                    <w:tr2bl w:val="nil"/>
                  </w:tcBorders>
                  <w:noWrap w:val="0"/>
                  <w:vAlign w:val="center"/>
                </w:tcPr>
                <w:p w14:paraId="39E45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p>
              </w:tc>
              <w:tc>
                <w:tcPr>
                  <w:tcW w:w="661" w:type="dxa"/>
                  <w:tcBorders>
                    <w:tl2br w:val="nil"/>
                    <w:tr2bl w:val="nil"/>
                  </w:tcBorders>
                  <w:noWrap w:val="0"/>
                  <w:vAlign w:val="center"/>
                </w:tcPr>
                <w:p w14:paraId="71D5C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default"/>
                      <w:b/>
                      <w:bCs/>
                      <w:color w:val="auto"/>
                      <w:kern w:val="0"/>
                      <w:szCs w:val="21"/>
                      <w:highlight w:val="none"/>
                    </w:rPr>
                    <w:t>核算方法</w:t>
                  </w:r>
                </w:p>
              </w:tc>
              <w:tc>
                <w:tcPr>
                  <w:tcW w:w="765" w:type="dxa"/>
                  <w:tcBorders>
                    <w:tl2br w:val="nil"/>
                    <w:tr2bl w:val="nil"/>
                  </w:tcBorders>
                  <w:noWrap w:val="0"/>
                  <w:vAlign w:val="center"/>
                </w:tcPr>
                <w:p w14:paraId="164631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eastAsia"/>
                      <w:b/>
                      <w:bCs/>
                      <w:color w:val="auto"/>
                      <w:kern w:val="0"/>
                      <w:szCs w:val="21"/>
                      <w:highlight w:val="none"/>
                    </w:rPr>
                    <w:t>产生</w:t>
                  </w:r>
                  <w:r>
                    <w:rPr>
                      <w:rFonts w:hint="default"/>
                      <w:b/>
                      <w:bCs/>
                      <w:color w:val="auto"/>
                      <w:kern w:val="0"/>
                      <w:szCs w:val="21"/>
                      <w:highlight w:val="none"/>
                    </w:rPr>
                    <w:t>量</w:t>
                  </w:r>
                  <w:r>
                    <w:rPr>
                      <w:rFonts w:hint="eastAsia"/>
                      <w:b/>
                      <w:bCs/>
                      <w:color w:val="auto"/>
                      <w:kern w:val="0"/>
                      <w:szCs w:val="21"/>
                      <w:highlight w:val="none"/>
                    </w:rPr>
                    <w:t>/收集量</w:t>
                  </w:r>
                  <w:r>
                    <w:rPr>
                      <w:rFonts w:hint="default"/>
                      <w:b/>
                      <w:bCs/>
                      <w:color w:val="auto"/>
                      <w:kern w:val="0"/>
                      <w:szCs w:val="21"/>
                      <w:highlight w:val="none"/>
                    </w:rPr>
                    <w:t>t/a</w:t>
                  </w:r>
                </w:p>
              </w:tc>
              <w:tc>
                <w:tcPr>
                  <w:tcW w:w="808" w:type="dxa"/>
                  <w:tcBorders>
                    <w:tl2br w:val="nil"/>
                    <w:tr2bl w:val="nil"/>
                  </w:tcBorders>
                  <w:noWrap w:val="0"/>
                  <w:vAlign w:val="center"/>
                </w:tcPr>
                <w:p w14:paraId="53CA4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eastAsia"/>
                      <w:b/>
                      <w:bCs/>
                      <w:color w:val="auto"/>
                      <w:kern w:val="0"/>
                      <w:szCs w:val="21"/>
                      <w:highlight w:val="none"/>
                    </w:rPr>
                    <w:t>产生/收集</w:t>
                  </w:r>
                  <w:r>
                    <w:rPr>
                      <w:rFonts w:hint="default"/>
                      <w:b/>
                      <w:bCs/>
                      <w:color w:val="auto"/>
                      <w:kern w:val="0"/>
                      <w:szCs w:val="21"/>
                      <w:highlight w:val="none"/>
                    </w:rPr>
                    <w:t>速率kg/h</w:t>
                  </w:r>
                </w:p>
              </w:tc>
              <w:tc>
                <w:tcPr>
                  <w:tcW w:w="834" w:type="dxa"/>
                  <w:tcBorders>
                    <w:tl2br w:val="nil"/>
                    <w:tr2bl w:val="nil"/>
                  </w:tcBorders>
                  <w:noWrap w:val="0"/>
                  <w:vAlign w:val="center"/>
                </w:tcPr>
                <w:p w14:paraId="0A85D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eastAsia"/>
                      <w:b/>
                      <w:bCs/>
                      <w:color w:val="auto"/>
                      <w:kern w:val="0"/>
                      <w:szCs w:val="21"/>
                      <w:highlight w:val="none"/>
                    </w:rPr>
                    <w:t>产生</w:t>
                  </w:r>
                  <w:r>
                    <w:rPr>
                      <w:rFonts w:hint="default"/>
                      <w:b/>
                      <w:bCs/>
                      <w:color w:val="auto"/>
                      <w:kern w:val="0"/>
                      <w:szCs w:val="21"/>
                      <w:highlight w:val="none"/>
                    </w:rPr>
                    <w:t>浓度</w:t>
                  </w:r>
                  <w:r>
                    <w:rPr>
                      <w:rFonts w:hint="default"/>
                      <w:b/>
                      <w:bCs/>
                      <w:color w:val="auto"/>
                      <w:szCs w:val="21"/>
                      <w:highlight w:val="none"/>
                    </w:rPr>
                    <w:t>mg/m</w:t>
                  </w:r>
                  <w:r>
                    <w:rPr>
                      <w:rFonts w:hint="default"/>
                      <w:b/>
                      <w:bCs/>
                      <w:color w:val="auto"/>
                      <w:szCs w:val="21"/>
                      <w:highlight w:val="none"/>
                      <w:vertAlign w:val="superscript"/>
                    </w:rPr>
                    <w:t>3</w:t>
                  </w:r>
                </w:p>
              </w:tc>
              <w:tc>
                <w:tcPr>
                  <w:tcW w:w="681" w:type="dxa"/>
                  <w:tcBorders>
                    <w:tl2br w:val="nil"/>
                    <w:tr2bl w:val="nil"/>
                  </w:tcBorders>
                  <w:noWrap w:val="0"/>
                  <w:vAlign w:val="center"/>
                </w:tcPr>
                <w:p w14:paraId="6F4FC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default"/>
                      <w:b/>
                      <w:bCs/>
                      <w:color w:val="auto"/>
                      <w:kern w:val="0"/>
                      <w:szCs w:val="21"/>
                      <w:highlight w:val="none"/>
                    </w:rPr>
                    <w:t>核算方法</w:t>
                  </w:r>
                </w:p>
              </w:tc>
              <w:tc>
                <w:tcPr>
                  <w:tcW w:w="757" w:type="dxa"/>
                  <w:tcBorders>
                    <w:tl2br w:val="nil"/>
                    <w:tr2bl w:val="nil"/>
                  </w:tcBorders>
                  <w:noWrap w:val="0"/>
                  <w:vAlign w:val="center"/>
                </w:tcPr>
                <w:p w14:paraId="13CD9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default"/>
                      <w:b/>
                      <w:bCs/>
                      <w:color w:val="auto"/>
                      <w:kern w:val="0"/>
                      <w:szCs w:val="21"/>
                      <w:highlight w:val="none"/>
                    </w:rPr>
                    <w:t>排放量t/a</w:t>
                  </w:r>
                </w:p>
              </w:tc>
              <w:tc>
                <w:tcPr>
                  <w:tcW w:w="757" w:type="dxa"/>
                  <w:tcBorders>
                    <w:tl2br w:val="nil"/>
                    <w:tr2bl w:val="nil"/>
                  </w:tcBorders>
                  <w:noWrap w:val="0"/>
                  <w:vAlign w:val="center"/>
                </w:tcPr>
                <w:p w14:paraId="7E7F5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default"/>
                      <w:b/>
                      <w:bCs/>
                      <w:color w:val="auto"/>
                      <w:kern w:val="0"/>
                      <w:szCs w:val="21"/>
                      <w:highlight w:val="none"/>
                    </w:rPr>
                    <w:t>排放速率kg/h</w:t>
                  </w:r>
                </w:p>
              </w:tc>
              <w:tc>
                <w:tcPr>
                  <w:tcW w:w="868" w:type="dxa"/>
                  <w:tcBorders>
                    <w:tl2br w:val="nil"/>
                    <w:tr2bl w:val="nil"/>
                  </w:tcBorders>
                  <w:noWrap w:val="0"/>
                  <w:vAlign w:val="center"/>
                </w:tcPr>
                <w:p w14:paraId="0D2CB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r>
                    <w:rPr>
                      <w:rFonts w:hint="default"/>
                      <w:b/>
                      <w:bCs/>
                      <w:color w:val="auto"/>
                      <w:kern w:val="0"/>
                      <w:szCs w:val="21"/>
                      <w:highlight w:val="none"/>
                    </w:rPr>
                    <w:t>排放浓度mg/m</w:t>
                  </w:r>
                  <w:r>
                    <w:rPr>
                      <w:rFonts w:hint="default"/>
                      <w:b/>
                      <w:bCs/>
                      <w:color w:val="auto"/>
                      <w:kern w:val="0"/>
                      <w:szCs w:val="21"/>
                      <w:highlight w:val="none"/>
                      <w:vertAlign w:val="superscript"/>
                    </w:rPr>
                    <w:t>3</w:t>
                  </w:r>
                </w:p>
              </w:tc>
              <w:tc>
                <w:tcPr>
                  <w:tcW w:w="661" w:type="dxa"/>
                  <w:vMerge w:val="continue"/>
                  <w:tcBorders>
                    <w:tl2br w:val="nil"/>
                    <w:tr2bl w:val="nil"/>
                  </w:tcBorders>
                  <w:noWrap w:val="0"/>
                  <w:vAlign w:val="center"/>
                </w:tcPr>
                <w:p w14:paraId="78800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
                      <w:bCs/>
                      <w:color w:val="auto"/>
                      <w:kern w:val="0"/>
                      <w:szCs w:val="21"/>
                      <w:highlight w:val="none"/>
                    </w:rPr>
                  </w:pPr>
                </w:p>
              </w:tc>
            </w:tr>
            <w:tr w14:paraId="33B823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tcBorders>
                    <w:tl2br w:val="nil"/>
                    <w:tr2bl w:val="nil"/>
                  </w:tcBorders>
                  <w:noWrap w:val="0"/>
                  <w:vAlign w:val="center"/>
                </w:tcPr>
                <w:p w14:paraId="79BA9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bookmarkStart w:id="7" w:name="OLE_LINK63" w:colFirst="8" w:colLast="8"/>
                  <w:bookmarkStart w:id="8" w:name="OLE_LINK23" w:colFirst="9" w:colLast="9"/>
                  <w:bookmarkStart w:id="9" w:name="OLE_LINK64" w:colFirst="7" w:colLast="7"/>
                  <w:bookmarkStart w:id="10" w:name="OLE_LINK68" w:colFirst="5" w:colLast="5"/>
                  <w:bookmarkStart w:id="11" w:name="OLE_LINK67" w:colFirst="4" w:colLast="4"/>
                  <w:bookmarkStart w:id="12" w:name="OLE_LINK6" w:colFirst="8" w:colLast="8"/>
                  <w:bookmarkStart w:id="13" w:name="OLE_LINK4" w:colFirst="7" w:colLast="7"/>
                  <w:bookmarkStart w:id="14" w:name="OLE_LINK9" w:colFirst="5" w:colLast="5"/>
                  <w:bookmarkStart w:id="15" w:name="OLE_LINK8" w:colFirst="4" w:colLast="4"/>
                  <w:bookmarkStart w:id="16" w:name="OLE_LINK7" w:colFirst="9" w:colLast="9"/>
                  <w:r>
                    <w:rPr>
                      <w:rFonts w:hint="eastAsia"/>
                      <w:color w:val="auto"/>
                      <w:kern w:val="0"/>
                      <w:szCs w:val="21"/>
                      <w:highlight w:val="none"/>
                    </w:rPr>
                    <w:t>DA001</w:t>
                  </w:r>
                </w:p>
              </w:tc>
              <w:tc>
                <w:tcPr>
                  <w:tcW w:w="645" w:type="dxa"/>
                  <w:vMerge w:val="restart"/>
                  <w:tcBorders>
                    <w:tl2br w:val="nil"/>
                    <w:tr2bl w:val="nil"/>
                  </w:tcBorders>
                  <w:noWrap w:val="0"/>
                  <w:vAlign w:val="center"/>
                </w:tcPr>
                <w:p w14:paraId="38E9B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颗粒物</w:t>
                  </w:r>
                </w:p>
              </w:tc>
              <w:tc>
                <w:tcPr>
                  <w:tcW w:w="661" w:type="dxa"/>
                  <w:vMerge w:val="restart"/>
                  <w:tcBorders>
                    <w:tl2br w:val="nil"/>
                    <w:tr2bl w:val="nil"/>
                  </w:tcBorders>
                  <w:noWrap w:val="0"/>
                  <w:vAlign w:val="center"/>
                </w:tcPr>
                <w:p w14:paraId="4A4A4E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r>
                    <w:rPr>
                      <w:rFonts w:hint="eastAsia"/>
                      <w:color w:val="auto"/>
                      <w:kern w:val="0"/>
                      <w:szCs w:val="21"/>
                      <w:highlight w:val="none"/>
                      <w:lang w:val="en-US" w:eastAsia="zh-CN"/>
                    </w:rPr>
                    <w:t>类比</w:t>
                  </w:r>
                  <w:r>
                    <w:rPr>
                      <w:rFonts w:hint="default"/>
                      <w:color w:val="auto"/>
                      <w:kern w:val="0"/>
                      <w:szCs w:val="21"/>
                      <w:highlight w:val="none"/>
                    </w:rPr>
                    <w:t>法</w:t>
                  </w:r>
                </w:p>
              </w:tc>
              <w:tc>
                <w:tcPr>
                  <w:tcW w:w="765" w:type="dxa"/>
                  <w:tcBorders>
                    <w:tl2br w:val="nil"/>
                    <w:tr2bl w:val="nil"/>
                  </w:tcBorders>
                  <w:noWrap w:val="0"/>
                  <w:vAlign w:val="center"/>
                </w:tcPr>
                <w:p w14:paraId="64D0DB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08" w:type="dxa"/>
                  <w:tcBorders>
                    <w:tl2br w:val="nil"/>
                    <w:tr2bl w:val="nil"/>
                  </w:tcBorders>
                  <w:noWrap w:val="0"/>
                  <w:vAlign w:val="center"/>
                </w:tcPr>
                <w:p w14:paraId="093F00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34" w:type="dxa"/>
                  <w:tcBorders>
                    <w:tl2br w:val="nil"/>
                    <w:tr2bl w:val="nil"/>
                  </w:tcBorders>
                  <w:noWrap w:val="0"/>
                  <w:vAlign w:val="center"/>
                </w:tcPr>
                <w:p w14:paraId="12769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eastAsia="宋体"/>
                      <w:color w:val="auto"/>
                      <w:kern w:val="0"/>
                      <w:szCs w:val="21"/>
                      <w:highlight w:val="none"/>
                      <w:lang w:val="en-US" w:eastAsia="zh-CN"/>
                    </w:rPr>
                  </w:pPr>
                </w:p>
              </w:tc>
              <w:tc>
                <w:tcPr>
                  <w:tcW w:w="681" w:type="dxa"/>
                  <w:vMerge w:val="restart"/>
                  <w:tcBorders>
                    <w:tl2br w:val="nil"/>
                    <w:tr2bl w:val="nil"/>
                  </w:tcBorders>
                  <w:noWrap w:val="0"/>
                  <w:vAlign w:val="center"/>
                </w:tcPr>
                <w:p w14:paraId="35D107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r>
                    <w:rPr>
                      <w:rFonts w:hint="default"/>
                      <w:color w:val="auto"/>
                      <w:kern w:val="0"/>
                      <w:szCs w:val="21"/>
                      <w:highlight w:val="none"/>
                    </w:rPr>
                    <w:t>物料衡算法</w:t>
                  </w:r>
                </w:p>
              </w:tc>
              <w:tc>
                <w:tcPr>
                  <w:tcW w:w="757" w:type="dxa"/>
                  <w:tcBorders>
                    <w:tl2br w:val="nil"/>
                    <w:tr2bl w:val="nil"/>
                  </w:tcBorders>
                  <w:noWrap w:val="0"/>
                  <w:vAlign w:val="center"/>
                </w:tcPr>
                <w:p w14:paraId="4CF854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757" w:type="dxa"/>
                  <w:tcBorders>
                    <w:tl2br w:val="nil"/>
                    <w:tr2bl w:val="nil"/>
                  </w:tcBorders>
                  <w:noWrap w:val="0"/>
                  <w:vAlign w:val="center"/>
                </w:tcPr>
                <w:p w14:paraId="3D32F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68" w:type="dxa"/>
                  <w:tcBorders>
                    <w:tl2br w:val="nil"/>
                    <w:tr2bl w:val="nil"/>
                  </w:tcBorders>
                  <w:noWrap w:val="0"/>
                  <w:vAlign w:val="center"/>
                </w:tcPr>
                <w:p w14:paraId="4F6ED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eastAsia="宋体"/>
                      <w:color w:val="auto"/>
                      <w:kern w:val="0"/>
                      <w:szCs w:val="21"/>
                      <w:highlight w:val="none"/>
                      <w:lang w:val="en-US" w:eastAsia="zh-CN"/>
                    </w:rPr>
                  </w:pPr>
                </w:p>
              </w:tc>
              <w:tc>
                <w:tcPr>
                  <w:tcW w:w="661" w:type="dxa"/>
                  <w:vMerge w:val="restart"/>
                  <w:tcBorders>
                    <w:tl2br w:val="nil"/>
                    <w:tr2bl w:val="nil"/>
                  </w:tcBorders>
                  <w:noWrap w:val="0"/>
                  <w:vAlign w:val="center"/>
                </w:tcPr>
                <w:p w14:paraId="3B4BC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2700</w:t>
                  </w:r>
                </w:p>
              </w:tc>
            </w:tr>
            <w:tr w14:paraId="2D1F7E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tcBorders>
                    <w:tl2br w:val="nil"/>
                    <w:tr2bl w:val="nil"/>
                  </w:tcBorders>
                  <w:noWrap w:val="0"/>
                  <w:vAlign w:val="center"/>
                </w:tcPr>
                <w:p w14:paraId="719B9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r>
                    <w:rPr>
                      <w:rFonts w:hint="eastAsia"/>
                      <w:color w:val="auto"/>
                      <w:kern w:val="0"/>
                      <w:szCs w:val="21"/>
                      <w:highlight w:val="none"/>
                    </w:rPr>
                    <w:t>DA002</w:t>
                  </w:r>
                </w:p>
              </w:tc>
              <w:tc>
                <w:tcPr>
                  <w:tcW w:w="645" w:type="dxa"/>
                  <w:vMerge w:val="continue"/>
                  <w:tcBorders>
                    <w:tl2br w:val="nil"/>
                    <w:tr2bl w:val="nil"/>
                  </w:tcBorders>
                  <w:noWrap w:val="0"/>
                  <w:vAlign w:val="center"/>
                </w:tcPr>
                <w:p w14:paraId="71762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c>
                <w:tcPr>
                  <w:tcW w:w="661" w:type="dxa"/>
                  <w:vMerge w:val="continue"/>
                  <w:tcBorders>
                    <w:tl2br w:val="nil"/>
                    <w:tr2bl w:val="nil"/>
                  </w:tcBorders>
                  <w:noWrap w:val="0"/>
                  <w:vAlign w:val="center"/>
                </w:tcPr>
                <w:p w14:paraId="4B343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c>
                <w:tcPr>
                  <w:tcW w:w="765" w:type="dxa"/>
                  <w:tcBorders>
                    <w:tl2br w:val="nil"/>
                    <w:tr2bl w:val="nil"/>
                  </w:tcBorders>
                  <w:noWrap w:val="0"/>
                  <w:vAlign w:val="center"/>
                </w:tcPr>
                <w:p w14:paraId="59AB6F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08" w:type="dxa"/>
                  <w:tcBorders>
                    <w:tl2br w:val="nil"/>
                    <w:tr2bl w:val="nil"/>
                  </w:tcBorders>
                  <w:noWrap w:val="0"/>
                  <w:vAlign w:val="center"/>
                </w:tcPr>
                <w:p w14:paraId="6361EF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ascii="Times New Roman" w:hAnsi="Times New Roman" w:eastAsia="宋体" w:cs="Times New Roman"/>
                      <w:color w:val="auto"/>
                      <w:kern w:val="0"/>
                      <w:sz w:val="21"/>
                      <w:szCs w:val="21"/>
                      <w:highlight w:val="none"/>
                      <w:lang w:val="en-US" w:eastAsia="zh-CN" w:bidi="ar-SA"/>
                    </w:rPr>
                  </w:pPr>
                </w:p>
              </w:tc>
              <w:tc>
                <w:tcPr>
                  <w:tcW w:w="834" w:type="dxa"/>
                  <w:tcBorders>
                    <w:tl2br w:val="nil"/>
                    <w:tr2bl w:val="nil"/>
                  </w:tcBorders>
                  <w:noWrap w:val="0"/>
                  <w:vAlign w:val="center"/>
                </w:tcPr>
                <w:p w14:paraId="0C8E6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681" w:type="dxa"/>
                  <w:vMerge w:val="continue"/>
                  <w:tcBorders>
                    <w:tl2br w:val="nil"/>
                    <w:tr2bl w:val="nil"/>
                  </w:tcBorders>
                  <w:noWrap w:val="0"/>
                  <w:vAlign w:val="center"/>
                </w:tcPr>
                <w:p w14:paraId="05B55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p>
              </w:tc>
              <w:tc>
                <w:tcPr>
                  <w:tcW w:w="757" w:type="dxa"/>
                  <w:tcBorders>
                    <w:tl2br w:val="nil"/>
                    <w:tr2bl w:val="nil"/>
                  </w:tcBorders>
                  <w:noWrap w:val="0"/>
                  <w:vAlign w:val="center"/>
                </w:tcPr>
                <w:p w14:paraId="52B8B6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757" w:type="dxa"/>
                  <w:tcBorders>
                    <w:tl2br w:val="nil"/>
                    <w:tr2bl w:val="nil"/>
                  </w:tcBorders>
                  <w:noWrap w:val="0"/>
                  <w:vAlign w:val="center"/>
                </w:tcPr>
                <w:p w14:paraId="54CECB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ascii="Times New Roman" w:hAnsi="Times New Roman" w:eastAsia="宋体" w:cs="Times New Roman"/>
                      <w:color w:val="auto"/>
                      <w:kern w:val="0"/>
                      <w:sz w:val="21"/>
                      <w:szCs w:val="21"/>
                      <w:highlight w:val="none"/>
                      <w:lang w:val="en-US" w:eastAsia="zh-CN" w:bidi="ar-SA"/>
                    </w:rPr>
                  </w:pPr>
                </w:p>
              </w:tc>
              <w:tc>
                <w:tcPr>
                  <w:tcW w:w="868" w:type="dxa"/>
                  <w:tcBorders>
                    <w:tl2br w:val="nil"/>
                    <w:tr2bl w:val="nil"/>
                  </w:tcBorders>
                  <w:noWrap w:val="0"/>
                  <w:vAlign w:val="center"/>
                </w:tcPr>
                <w:p w14:paraId="5699C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661" w:type="dxa"/>
                  <w:vMerge w:val="continue"/>
                  <w:tcBorders>
                    <w:tl2br w:val="nil"/>
                    <w:tr2bl w:val="nil"/>
                  </w:tcBorders>
                  <w:noWrap w:val="0"/>
                  <w:vAlign w:val="center"/>
                </w:tcPr>
                <w:p w14:paraId="6ED0D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r>
            <w:bookmarkEnd w:id="7"/>
            <w:bookmarkEnd w:id="8"/>
            <w:bookmarkEnd w:id="9"/>
            <w:bookmarkEnd w:id="10"/>
            <w:bookmarkEnd w:id="11"/>
            <w:tr w14:paraId="2B6456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tcBorders>
                    <w:tl2br w:val="nil"/>
                    <w:tr2bl w:val="nil"/>
                  </w:tcBorders>
                  <w:noWrap w:val="0"/>
                  <w:vAlign w:val="center"/>
                </w:tcPr>
                <w:p w14:paraId="7C422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bookmarkStart w:id="17" w:name="OLE_LINK14" w:colFirst="3" w:colLast="4"/>
                  <w:r>
                    <w:rPr>
                      <w:rFonts w:hint="default"/>
                      <w:bCs/>
                      <w:color w:val="auto"/>
                      <w:szCs w:val="21"/>
                      <w:highlight w:val="none"/>
                    </w:rPr>
                    <w:t>DA0</w:t>
                  </w:r>
                  <w:r>
                    <w:rPr>
                      <w:rFonts w:hint="eastAsia"/>
                      <w:bCs/>
                      <w:color w:val="auto"/>
                      <w:szCs w:val="21"/>
                      <w:highlight w:val="none"/>
                    </w:rPr>
                    <w:t>03</w:t>
                  </w:r>
                </w:p>
              </w:tc>
              <w:tc>
                <w:tcPr>
                  <w:tcW w:w="645" w:type="dxa"/>
                  <w:vMerge w:val="continue"/>
                  <w:tcBorders>
                    <w:tl2br w:val="nil"/>
                    <w:tr2bl w:val="nil"/>
                  </w:tcBorders>
                  <w:noWrap w:val="0"/>
                  <w:vAlign w:val="center"/>
                </w:tcPr>
                <w:p w14:paraId="66F99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c>
                <w:tcPr>
                  <w:tcW w:w="661" w:type="dxa"/>
                  <w:vMerge w:val="continue"/>
                  <w:tcBorders>
                    <w:tl2br w:val="nil"/>
                    <w:tr2bl w:val="nil"/>
                  </w:tcBorders>
                  <w:noWrap w:val="0"/>
                  <w:vAlign w:val="center"/>
                </w:tcPr>
                <w:p w14:paraId="54F85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p>
              </w:tc>
              <w:tc>
                <w:tcPr>
                  <w:tcW w:w="765" w:type="dxa"/>
                  <w:tcBorders>
                    <w:tl2br w:val="nil"/>
                    <w:tr2bl w:val="nil"/>
                  </w:tcBorders>
                  <w:noWrap w:val="0"/>
                  <w:vAlign w:val="center"/>
                </w:tcPr>
                <w:p w14:paraId="36C732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08" w:type="dxa"/>
                  <w:tcBorders>
                    <w:tl2br w:val="nil"/>
                    <w:tr2bl w:val="nil"/>
                  </w:tcBorders>
                  <w:noWrap w:val="0"/>
                  <w:vAlign w:val="center"/>
                </w:tcPr>
                <w:p w14:paraId="7A9BD7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ascii="Times New Roman" w:hAnsi="Times New Roman" w:eastAsia="宋体" w:cs="Times New Roman"/>
                      <w:color w:val="auto"/>
                      <w:kern w:val="0"/>
                      <w:sz w:val="21"/>
                      <w:szCs w:val="21"/>
                      <w:highlight w:val="none"/>
                      <w:lang w:val="en-US" w:eastAsia="zh-CN" w:bidi="ar-SA"/>
                    </w:rPr>
                  </w:pPr>
                </w:p>
              </w:tc>
              <w:tc>
                <w:tcPr>
                  <w:tcW w:w="834" w:type="dxa"/>
                  <w:tcBorders>
                    <w:tl2br w:val="nil"/>
                    <w:tr2bl w:val="nil"/>
                  </w:tcBorders>
                  <w:noWrap w:val="0"/>
                  <w:vAlign w:val="center"/>
                </w:tcPr>
                <w:p w14:paraId="266DC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681" w:type="dxa"/>
                  <w:vMerge w:val="continue"/>
                  <w:tcBorders>
                    <w:tl2br w:val="nil"/>
                    <w:tr2bl w:val="nil"/>
                  </w:tcBorders>
                  <w:noWrap w:val="0"/>
                  <w:vAlign w:val="center"/>
                </w:tcPr>
                <w:p w14:paraId="1B8C9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p>
              </w:tc>
              <w:tc>
                <w:tcPr>
                  <w:tcW w:w="757" w:type="dxa"/>
                  <w:tcBorders>
                    <w:tl2br w:val="nil"/>
                    <w:tr2bl w:val="nil"/>
                  </w:tcBorders>
                  <w:noWrap w:val="0"/>
                  <w:vAlign w:val="center"/>
                </w:tcPr>
                <w:p w14:paraId="447876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p>
              </w:tc>
              <w:tc>
                <w:tcPr>
                  <w:tcW w:w="757" w:type="dxa"/>
                  <w:tcBorders>
                    <w:tl2br w:val="nil"/>
                    <w:tr2bl w:val="nil"/>
                  </w:tcBorders>
                  <w:noWrap w:val="0"/>
                  <w:vAlign w:val="center"/>
                </w:tcPr>
                <w:p w14:paraId="35C98D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ascii="Times New Roman" w:hAnsi="Times New Roman" w:eastAsia="宋体" w:cs="Times New Roman"/>
                      <w:color w:val="auto"/>
                      <w:kern w:val="0"/>
                      <w:sz w:val="21"/>
                      <w:szCs w:val="21"/>
                      <w:highlight w:val="none"/>
                      <w:lang w:val="en-US" w:eastAsia="zh-CN" w:bidi="ar-SA"/>
                    </w:rPr>
                  </w:pPr>
                </w:p>
              </w:tc>
              <w:tc>
                <w:tcPr>
                  <w:tcW w:w="868" w:type="dxa"/>
                  <w:tcBorders>
                    <w:tl2br w:val="nil"/>
                    <w:tr2bl w:val="nil"/>
                  </w:tcBorders>
                  <w:noWrap w:val="0"/>
                  <w:vAlign w:val="center"/>
                </w:tcPr>
                <w:p w14:paraId="217D3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661" w:type="dxa"/>
                  <w:vMerge w:val="continue"/>
                  <w:tcBorders>
                    <w:tl2br w:val="nil"/>
                    <w:tr2bl w:val="nil"/>
                  </w:tcBorders>
                  <w:noWrap w:val="0"/>
                  <w:vAlign w:val="center"/>
                </w:tcPr>
                <w:p w14:paraId="6F974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r>
            <w:tr w14:paraId="3EA698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tcBorders>
                    <w:tl2br w:val="nil"/>
                    <w:tr2bl w:val="nil"/>
                  </w:tcBorders>
                  <w:noWrap w:val="0"/>
                  <w:vAlign w:val="center"/>
                </w:tcPr>
                <w:p w14:paraId="59EB3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eastAsia="宋体"/>
                      <w:bCs/>
                      <w:color w:val="auto"/>
                      <w:szCs w:val="21"/>
                      <w:highlight w:val="none"/>
                      <w:lang w:eastAsia="zh-CN"/>
                    </w:rPr>
                  </w:pPr>
                  <w:r>
                    <w:rPr>
                      <w:rFonts w:hint="default"/>
                      <w:bCs/>
                      <w:color w:val="auto"/>
                      <w:szCs w:val="21"/>
                      <w:highlight w:val="none"/>
                    </w:rPr>
                    <w:t>DA0</w:t>
                  </w:r>
                  <w:r>
                    <w:rPr>
                      <w:rFonts w:hint="eastAsia"/>
                      <w:bCs/>
                      <w:color w:val="auto"/>
                      <w:szCs w:val="21"/>
                      <w:highlight w:val="none"/>
                    </w:rPr>
                    <w:t>0</w:t>
                  </w:r>
                  <w:r>
                    <w:rPr>
                      <w:rFonts w:hint="eastAsia"/>
                      <w:bCs/>
                      <w:color w:val="auto"/>
                      <w:szCs w:val="21"/>
                      <w:highlight w:val="none"/>
                      <w:lang w:val="en-US" w:eastAsia="zh-CN"/>
                    </w:rPr>
                    <w:t>4</w:t>
                  </w:r>
                </w:p>
              </w:tc>
              <w:tc>
                <w:tcPr>
                  <w:tcW w:w="645" w:type="dxa"/>
                  <w:vMerge w:val="continue"/>
                  <w:tcBorders>
                    <w:tl2br w:val="nil"/>
                    <w:tr2bl w:val="nil"/>
                  </w:tcBorders>
                  <w:noWrap w:val="0"/>
                  <w:vAlign w:val="center"/>
                </w:tcPr>
                <w:p w14:paraId="586C8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szCs w:val="21"/>
                      <w:highlight w:val="none"/>
                    </w:rPr>
                  </w:pPr>
                </w:p>
              </w:tc>
              <w:tc>
                <w:tcPr>
                  <w:tcW w:w="661" w:type="dxa"/>
                  <w:vMerge w:val="continue"/>
                  <w:tcBorders>
                    <w:tl2br w:val="nil"/>
                    <w:tr2bl w:val="nil"/>
                  </w:tcBorders>
                  <w:noWrap w:val="0"/>
                  <w:vAlign w:val="center"/>
                </w:tcPr>
                <w:p w14:paraId="6D7FF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c>
                <w:tcPr>
                  <w:tcW w:w="765" w:type="dxa"/>
                  <w:tcBorders>
                    <w:tl2br w:val="nil"/>
                    <w:tr2bl w:val="nil"/>
                  </w:tcBorders>
                  <w:noWrap w:val="0"/>
                  <w:vAlign w:val="center"/>
                </w:tcPr>
                <w:p w14:paraId="40FCE9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08" w:type="dxa"/>
                  <w:tcBorders>
                    <w:tl2br w:val="nil"/>
                    <w:tr2bl w:val="nil"/>
                  </w:tcBorders>
                  <w:noWrap w:val="0"/>
                  <w:vAlign w:val="center"/>
                </w:tcPr>
                <w:p w14:paraId="5CA060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ascii="Times New Roman" w:hAnsi="Times New Roman" w:eastAsia="宋体" w:cs="Times New Roman"/>
                      <w:color w:val="auto"/>
                      <w:kern w:val="0"/>
                      <w:sz w:val="21"/>
                      <w:szCs w:val="21"/>
                      <w:highlight w:val="none"/>
                      <w:lang w:val="en-US" w:eastAsia="zh-CN" w:bidi="ar-SA"/>
                    </w:rPr>
                  </w:pPr>
                </w:p>
              </w:tc>
              <w:tc>
                <w:tcPr>
                  <w:tcW w:w="834" w:type="dxa"/>
                  <w:tcBorders>
                    <w:tl2br w:val="nil"/>
                    <w:tr2bl w:val="nil"/>
                  </w:tcBorders>
                  <w:noWrap w:val="0"/>
                  <w:vAlign w:val="center"/>
                </w:tcPr>
                <w:p w14:paraId="440BB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eastAsia" w:ascii="Times New Roman" w:hAnsi="Times New Roman" w:eastAsia="宋体" w:cs="Times New Roman"/>
                      <w:color w:val="auto"/>
                      <w:kern w:val="0"/>
                      <w:sz w:val="21"/>
                      <w:szCs w:val="21"/>
                      <w:highlight w:val="none"/>
                      <w:lang w:val="en-US" w:eastAsia="zh-CN" w:bidi="ar-SA"/>
                    </w:rPr>
                  </w:pPr>
                </w:p>
              </w:tc>
              <w:tc>
                <w:tcPr>
                  <w:tcW w:w="681" w:type="dxa"/>
                  <w:vMerge w:val="continue"/>
                  <w:tcBorders>
                    <w:tl2br w:val="nil"/>
                    <w:tr2bl w:val="nil"/>
                  </w:tcBorders>
                  <w:noWrap w:val="0"/>
                  <w:vAlign w:val="center"/>
                </w:tcPr>
                <w:p w14:paraId="4E02D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p>
              </w:tc>
              <w:tc>
                <w:tcPr>
                  <w:tcW w:w="757" w:type="dxa"/>
                  <w:tcBorders>
                    <w:tl2br w:val="nil"/>
                    <w:tr2bl w:val="nil"/>
                  </w:tcBorders>
                  <w:noWrap w:val="0"/>
                  <w:vAlign w:val="center"/>
                </w:tcPr>
                <w:p w14:paraId="598F4D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c>
                <w:tcPr>
                  <w:tcW w:w="757" w:type="dxa"/>
                  <w:tcBorders>
                    <w:tl2br w:val="nil"/>
                    <w:tr2bl w:val="nil"/>
                  </w:tcBorders>
                  <w:noWrap w:val="0"/>
                  <w:vAlign w:val="center"/>
                </w:tcPr>
                <w:p w14:paraId="7FE4B3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ascii="Times New Roman" w:hAnsi="Times New Roman" w:eastAsia="宋体" w:cs="Times New Roman"/>
                      <w:color w:val="auto"/>
                      <w:kern w:val="0"/>
                      <w:sz w:val="21"/>
                      <w:szCs w:val="21"/>
                      <w:highlight w:val="none"/>
                      <w:lang w:val="en-US" w:eastAsia="zh-CN" w:bidi="ar-SA"/>
                    </w:rPr>
                  </w:pPr>
                </w:p>
              </w:tc>
              <w:tc>
                <w:tcPr>
                  <w:tcW w:w="868" w:type="dxa"/>
                  <w:tcBorders>
                    <w:tl2br w:val="nil"/>
                    <w:tr2bl w:val="nil"/>
                  </w:tcBorders>
                  <w:noWrap w:val="0"/>
                  <w:vAlign w:val="center"/>
                </w:tcPr>
                <w:p w14:paraId="574A9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eastAsia" w:ascii="Times New Roman" w:hAnsi="Times New Roman" w:eastAsia="宋体" w:cs="Times New Roman"/>
                      <w:color w:val="auto"/>
                      <w:kern w:val="0"/>
                      <w:sz w:val="21"/>
                      <w:szCs w:val="21"/>
                      <w:highlight w:val="none"/>
                      <w:lang w:val="en-US" w:eastAsia="zh-CN" w:bidi="ar-SA"/>
                    </w:rPr>
                  </w:pPr>
                </w:p>
              </w:tc>
              <w:tc>
                <w:tcPr>
                  <w:tcW w:w="661" w:type="dxa"/>
                  <w:vMerge w:val="continue"/>
                  <w:tcBorders>
                    <w:tl2br w:val="nil"/>
                    <w:tr2bl w:val="nil"/>
                  </w:tcBorders>
                  <w:noWrap w:val="0"/>
                  <w:vAlign w:val="center"/>
                </w:tcPr>
                <w:p w14:paraId="43558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r>
            <w:tr w14:paraId="5CBF8A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tcBorders>
                    <w:tl2br w:val="nil"/>
                    <w:tr2bl w:val="nil"/>
                  </w:tcBorders>
                  <w:noWrap w:val="0"/>
                  <w:vAlign w:val="center"/>
                </w:tcPr>
                <w:p w14:paraId="270AF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eastAsia="宋体"/>
                      <w:bCs/>
                      <w:color w:val="auto"/>
                      <w:szCs w:val="21"/>
                      <w:highlight w:val="none"/>
                      <w:lang w:eastAsia="zh-CN"/>
                    </w:rPr>
                  </w:pPr>
                  <w:r>
                    <w:rPr>
                      <w:rFonts w:hint="default"/>
                      <w:bCs/>
                      <w:color w:val="auto"/>
                      <w:szCs w:val="21"/>
                      <w:highlight w:val="none"/>
                    </w:rPr>
                    <w:t>DA0</w:t>
                  </w:r>
                  <w:r>
                    <w:rPr>
                      <w:rFonts w:hint="eastAsia"/>
                      <w:bCs/>
                      <w:color w:val="auto"/>
                      <w:szCs w:val="21"/>
                      <w:highlight w:val="none"/>
                    </w:rPr>
                    <w:t>0</w:t>
                  </w:r>
                  <w:r>
                    <w:rPr>
                      <w:rFonts w:hint="eastAsia"/>
                      <w:bCs/>
                      <w:color w:val="auto"/>
                      <w:szCs w:val="21"/>
                      <w:highlight w:val="none"/>
                      <w:lang w:val="en-US" w:eastAsia="zh-CN"/>
                    </w:rPr>
                    <w:t>5</w:t>
                  </w:r>
                </w:p>
              </w:tc>
              <w:tc>
                <w:tcPr>
                  <w:tcW w:w="645" w:type="dxa"/>
                  <w:vMerge w:val="continue"/>
                  <w:tcBorders>
                    <w:tl2br w:val="nil"/>
                    <w:tr2bl w:val="nil"/>
                  </w:tcBorders>
                  <w:noWrap w:val="0"/>
                  <w:vAlign w:val="center"/>
                </w:tcPr>
                <w:p w14:paraId="7342B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szCs w:val="21"/>
                      <w:highlight w:val="none"/>
                    </w:rPr>
                  </w:pPr>
                </w:p>
              </w:tc>
              <w:tc>
                <w:tcPr>
                  <w:tcW w:w="661" w:type="dxa"/>
                  <w:vMerge w:val="continue"/>
                  <w:tcBorders>
                    <w:tl2br w:val="nil"/>
                    <w:tr2bl w:val="nil"/>
                  </w:tcBorders>
                  <w:noWrap w:val="0"/>
                  <w:vAlign w:val="center"/>
                </w:tcPr>
                <w:p w14:paraId="6B950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c>
                <w:tcPr>
                  <w:tcW w:w="765" w:type="dxa"/>
                  <w:tcBorders>
                    <w:tl2br w:val="nil"/>
                    <w:tr2bl w:val="nil"/>
                  </w:tcBorders>
                  <w:noWrap w:val="0"/>
                  <w:vAlign w:val="center"/>
                </w:tcPr>
                <w:p w14:paraId="266805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08" w:type="dxa"/>
                  <w:tcBorders>
                    <w:tl2br w:val="nil"/>
                    <w:tr2bl w:val="nil"/>
                  </w:tcBorders>
                  <w:noWrap w:val="0"/>
                  <w:vAlign w:val="center"/>
                </w:tcPr>
                <w:p w14:paraId="16599E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ascii="Times New Roman" w:hAnsi="Times New Roman" w:eastAsia="宋体" w:cs="Times New Roman"/>
                      <w:color w:val="auto"/>
                      <w:kern w:val="0"/>
                      <w:sz w:val="21"/>
                      <w:szCs w:val="21"/>
                      <w:highlight w:val="none"/>
                      <w:lang w:val="en-US" w:eastAsia="zh-CN" w:bidi="ar-SA"/>
                    </w:rPr>
                  </w:pPr>
                </w:p>
              </w:tc>
              <w:tc>
                <w:tcPr>
                  <w:tcW w:w="834" w:type="dxa"/>
                  <w:tcBorders>
                    <w:tl2br w:val="nil"/>
                    <w:tr2bl w:val="nil"/>
                  </w:tcBorders>
                  <w:noWrap w:val="0"/>
                  <w:vAlign w:val="center"/>
                </w:tcPr>
                <w:p w14:paraId="5E284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681" w:type="dxa"/>
                  <w:vMerge w:val="continue"/>
                  <w:tcBorders>
                    <w:tl2br w:val="nil"/>
                    <w:tr2bl w:val="nil"/>
                  </w:tcBorders>
                  <w:noWrap w:val="0"/>
                  <w:vAlign w:val="center"/>
                </w:tcPr>
                <w:p w14:paraId="2A23D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p>
              </w:tc>
              <w:tc>
                <w:tcPr>
                  <w:tcW w:w="757" w:type="dxa"/>
                  <w:tcBorders>
                    <w:tl2br w:val="nil"/>
                    <w:tr2bl w:val="nil"/>
                  </w:tcBorders>
                  <w:noWrap w:val="0"/>
                  <w:vAlign w:val="center"/>
                </w:tcPr>
                <w:p w14:paraId="0B7ED6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757" w:type="dxa"/>
                  <w:tcBorders>
                    <w:tl2br w:val="nil"/>
                    <w:tr2bl w:val="nil"/>
                  </w:tcBorders>
                  <w:noWrap w:val="0"/>
                  <w:vAlign w:val="center"/>
                </w:tcPr>
                <w:p w14:paraId="7EF9A1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ascii="Times New Roman" w:hAnsi="Times New Roman" w:eastAsia="宋体" w:cs="Times New Roman"/>
                      <w:color w:val="auto"/>
                      <w:kern w:val="0"/>
                      <w:sz w:val="21"/>
                      <w:szCs w:val="21"/>
                      <w:highlight w:val="none"/>
                      <w:lang w:val="en-US" w:eastAsia="zh-CN" w:bidi="ar-SA"/>
                    </w:rPr>
                  </w:pPr>
                </w:p>
              </w:tc>
              <w:tc>
                <w:tcPr>
                  <w:tcW w:w="868" w:type="dxa"/>
                  <w:tcBorders>
                    <w:tl2br w:val="nil"/>
                    <w:tr2bl w:val="nil"/>
                  </w:tcBorders>
                  <w:noWrap w:val="0"/>
                  <w:vAlign w:val="center"/>
                </w:tcPr>
                <w:p w14:paraId="48159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661" w:type="dxa"/>
                  <w:vMerge w:val="continue"/>
                  <w:tcBorders>
                    <w:tl2br w:val="nil"/>
                    <w:tr2bl w:val="nil"/>
                  </w:tcBorders>
                  <w:noWrap w:val="0"/>
                  <w:vAlign w:val="center"/>
                </w:tcPr>
                <w:p w14:paraId="62C07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r>
            <w:tr w14:paraId="38FDE9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tcBorders>
                    <w:tl2br w:val="nil"/>
                    <w:tr2bl w:val="nil"/>
                  </w:tcBorders>
                  <w:noWrap w:val="0"/>
                  <w:vAlign w:val="center"/>
                </w:tcPr>
                <w:p w14:paraId="4D23F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eastAsia="宋体"/>
                      <w:bCs/>
                      <w:color w:val="auto"/>
                      <w:szCs w:val="21"/>
                      <w:highlight w:val="none"/>
                      <w:lang w:eastAsia="zh-CN"/>
                    </w:rPr>
                  </w:pPr>
                  <w:r>
                    <w:rPr>
                      <w:rFonts w:hint="default"/>
                      <w:bCs/>
                      <w:color w:val="auto"/>
                      <w:szCs w:val="21"/>
                      <w:highlight w:val="none"/>
                    </w:rPr>
                    <w:t>DA0</w:t>
                  </w:r>
                  <w:r>
                    <w:rPr>
                      <w:rFonts w:hint="eastAsia"/>
                      <w:bCs/>
                      <w:color w:val="auto"/>
                      <w:szCs w:val="21"/>
                      <w:highlight w:val="none"/>
                    </w:rPr>
                    <w:t>0</w:t>
                  </w:r>
                  <w:r>
                    <w:rPr>
                      <w:rFonts w:hint="eastAsia"/>
                      <w:bCs/>
                      <w:color w:val="auto"/>
                      <w:szCs w:val="21"/>
                      <w:highlight w:val="none"/>
                      <w:lang w:val="en-US" w:eastAsia="zh-CN"/>
                    </w:rPr>
                    <w:t>6</w:t>
                  </w:r>
                </w:p>
              </w:tc>
              <w:tc>
                <w:tcPr>
                  <w:tcW w:w="645" w:type="dxa"/>
                  <w:vMerge w:val="continue"/>
                  <w:tcBorders>
                    <w:tl2br w:val="nil"/>
                    <w:tr2bl w:val="nil"/>
                  </w:tcBorders>
                  <w:noWrap w:val="0"/>
                  <w:vAlign w:val="center"/>
                </w:tcPr>
                <w:p w14:paraId="0608D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szCs w:val="21"/>
                      <w:highlight w:val="none"/>
                    </w:rPr>
                  </w:pPr>
                </w:p>
              </w:tc>
              <w:tc>
                <w:tcPr>
                  <w:tcW w:w="661" w:type="dxa"/>
                  <w:vMerge w:val="continue"/>
                  <w:tcBorders>
                    <w:tl2br w:val="nil"/>
                    <w:tr2bl w:val="nil"/>
                  </w:tcBorders>
                  <w:noWrap w:val="0"/>
                  <w:vAlign w:val="center"/>
                </w:tcPr>
                <w:p w14:paraId="705CA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c>
                <w:tcPr>
                  <w:tcW w:w="765" w:type="dxa"/>
                  <w:tcBorders>
                    <w:tl2br w:val="nil"/>
                    <w:tr2bl w:val="nil"/>
                  </w:tcBorders>
                  <w:noWrap w:val="0"/>
                  <w:vAlign w:val="center"/>
                </w:tcPr>
                <w:p w14:paraId="38555A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08" w:type="dxa"/>
                  <w:tcBorders>
                    <w:tl2br w:val="nil"/>
                    <w:tr2bl w:val="nil"/>
                  </w:tcBorders>
                  <w:noWrap w:val="0"/>
                  <w:vAlign w:val="center"/>
                </w:tcPr>
                <w:p w14:paraId="3F3294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34" w:type="dxa"/>
                  <w:tcBorders>
                    <w:tl2br w:val="nil"/>
                    <w:tr2bl w:val="nil"/>
                  </w:tcBorders>
                  <w:noWrap w:val="0"/>
                  <w:vAlign w:val="center"/>
                </w:tcPr>
                <w:p w14:paraId="6AE7C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eastAsia="宋体"/>
                      <w:color w:val="auto"/>
                      <w:kern w:val="0"/>
                      <w:szCs w:val="21"/>
                      <w:highlight w:val="none"/>
                      <w:lang w:val="en-US" w:eastAsia="zh-CN"/>
                    </w:rPr>
                  </w:pPr>
                </w:p>
              </w:tc>
              <w:tc>
                <w:tcPr>
                  <w:tcW w:w="681" w:type="dxa"/>
                  <w:vMerge w:val="continue"/>
                  <w:tcBorders>
                    <w:tl2br w:val="nil"/>
                    <w:tr2bl w:val="nil"/>
                  </w:tcBorders>
                  <w:noWrap w:val="0"/>
                  <w:vAlign w:val="center"/>
                </w:tcPr>
                <w:p w14:paraId="5BCE8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p>
              </w:tc>
              <w:tc>
                <w:tcPr>
                  <w:tcW w:w="757" w:type="dxa"/>
                  <w:tcBorders>
                    <w:tl2br w:val="nil"/>
                    <w:tr2bl w:val="nil"/>
                  </w:tcBorders>
                  <w:noWrap w:val="0"/>
                  <w:vAlign w:val="center"/>
                </w:tcPr>
                <w:p w14:paraId="224218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757" w:type="dxa"/>
                  <w:tcBorders>
                    <w:tl2br w:val="nil"/>
                    <w:tr2bl w:val="nil"/>
                  </w:tcBorders>
                  <w:noWrap w:val="0"/>
                  <w:vAlign w:val="center"/>
                </w:tcPr>
                <w:p w14:paraId="19BF07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68" w:type="dxa"/>
                  <w:tcBorders>
                    <w:tl2br w:val="nil"/>
                    <w:tr2bl w:val="nil"/>
                  </w:tcBorders>
                  <w:noWrap w:val="0"/>
                  <w:vAlign w:val="center"/>
                </w:tcPr>
                <w:p w14:paraId="346B8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eastAsia="宋体"/>
                      <w:color w:val="auto"/>
                      <w:kern w:val="0"/>
                      <w:szCs w:val="21"/>
                      <w:highlight w:val="none"/>
                      <w:lang w:val="en-US" w:eastAsia="zh-CN"/>
                    </w:rPr>
                  </w:pPr>
                </w:p>
              </w:tc>
              <w:tc>
                <w:tcPr>
                  <w:tcW w:w="661" w:type="dxa"/>
                  <w:vMerge w:val="continue"/>
                  <w:tcBorders>
                    <w:tl2br w:val="nil"/>
                    <w:tr2bl w:val="nil"/>
                  </w:tcBorders>
                  <w:noWrap w:val="0"/>
                  <w:vAlign w:val="center"/>
                </w:tcPr>
                <w:p w14:paraId="7EA5D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r>
            <w:tr w14:paraId="279897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tcBorders>
                    <w:tl2br w:val="nil"/>
                    <w:tr2bl w:val="nil"/>
                  </w:tcBorders>
                  <w:noWrap w:val="0"/>
                  <w:vAlign w:val="center"/>
                </w:tcPr>
                <w:p w14:paraId="58AEF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bCs/>
                      <w:color w:val="auto"/>
                      <w:szCs w:val="21"/>
                      <w:highlight w:val="none"/>
                    </w:rPr>
                  </w:pPr>
                  <w:r>
                    <w:rPr>
                      <w:rFonts w:hint="default"/>
                      <w:bCs/>
                      <w:color w:val="auto"/>
                      <w:szCs w:val="21"/>
                      <w:highlight w:val="none"/>
                    </w:rPr>
                    <w:t>DA0</w:t>
                  </w:r>
                  <w:r>
                    <w:rPr>
                      <w:rFonts w:hint="eastAsia"/>
                      <w:bCs/>
                      <w:color w:val="auto"/>
                      <w:szCs w:val="21"/>
                      <w:highlight w:val="none"/>
                    </w:rPr>
                    <w:t>0</w:t>
                  </w:r>
                  <w:r>
                    <w:rPr>
                      <w:rFonts w:hint="eastAsia"/>
                      <w:bCs/>
                      <w:color w:val="auto"/>
                      <w:szCs w:val="21"/>
                      <w:highlight w:val="none"/>
                      <w:lang w:val="en-US" w:eastAsia="zh-CN"/>
                    </w:rPr>
                    <w:t>7</w:t>
                  </w:r>
                </w:p>
              </w:tc>
              <w:tc>
                <w:tcPr>
                  <w:tcW w:w="645" w:type="dxa"/>
                  <w:vMerge w:val="continue"/>
                  <w:tcBorders>
                    <w:tl2br w:val="nil"/>
                    <w:tr2bl w:val="nil"/>
                  </w:tcBorders>
                  <w:noWrap w:val="0"/>
                  <w:vAlign w:val="center"/>
                </w:tcPr>
                <w:p w14:paraId="40E7C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szCs w:val="21"/>
                      <w:highlight w:val="none"/>
                    </w:rPr>
                  </w:pPr>
                </w:p>
              </w:tc>
              <w:tc>
                <w:tcPr>
                  <w:tcW w:w="661" w:type="dxa"/>
                  <w:vMerge w:val="continue"/>
                  <w:tcBorders>
                    <w:tl2br w:val="nil"/>
                    <w:tr2bl w:val="nil"/>
                  </w:tcBorders>
                  <w:noWrap w:val="0"/>
                  <w:vAlign w:val="center"/>
                </w:tcPr>
                <w:p w14:paraId="332FB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c>
                <w:tcPr>
                  <w:tcW w:w="765" w:type="dxa"/>
                  <w:tcBorders>
                    <w:tl2br w:val="nil"/>
                    <w:tr2bl w:val="nil"/>
                  </w:tcBorders>
                  <w:noWrap w:val="0"/>
                  <w:vAlign w:val="center"/>
                </w:tcPr>
                <w:p w14:paraId="54DA7E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lang w:val="en-US" w:eastAsia="zh-CN"/>
                    </w:rPr>
                  </w:pPr>
                </w:p>
              </w:tc>
              <w:tc>
                <w:tcPr>
                  <w:tcW w:w="808" w:type="dxa"/>
                  <w:tcBorders>
                    <w:tl2br w:val="nil"/>
                    <w:tr2bl w:val="nil"/>
                  </w:tcBorders>
                  <w:noWrap w:val="0"/>
                  <w:vAlign w:val="center"/>
                </w:tcPr>
                <w:p w14:paraId="06D9BB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lang w:val="en-US" w:eastAsia="zh-CN"/>
                    </w:rPr>
                  </w:pPr>
                </w:p>
              </w:tc>
              <w:tc>
                <w:tcPr>
                  <w:tcW w:w="834" w:type="dxa"/>
                  <w:tcBorders>
                    <w:tl2br w:val="nil"/>
                    <w:tr2bl w:val="nil"/>
                  </w:tcBorders>
                  <w:noWrap w:val="0"/>
                  <w:vAlign w:val="center"/>
                </w:tcPr>
                <w:p w14:paraId="627E9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color w:val="auto"/>
                      <w:kern w:val="0"/>
                      <w:szCs w:val="21"/>
                      <w:highlight w:val="none"/>
                      <w:lang w:val="en-US" w:eastAsia="zh-CN"/>
                    </w:rPr>
                  </w:pPr>
                </w:p>
              </w:tc>
              <w:tc>
                <w:tcPr>
                  <w:tcW w:w="681" w:type="dxa"/>
                  <w:vMerge w:val="continue"/>
                  <w:tcBorders>
                    <w:tl2br w:val="nil"/>
                    <w:tr2bl w:val="nil"/>
                  </w:tcBorders>
                  <w:noWrap w:val="0"/>
                  <w:vAlign w:val="center"/>
                </w:tcPr>
                <w:p w14:paraId="67418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p>
              </w:tc>
              <w:tc>
                <w:tcPr>
                  <w:tcW w:w="757" w:type="dxa"/>
                  <w:tcBorders>
                    <w:tl2br w:val="nil"/>
                    <w:tr2bl w:val="nil"/>
                  </w:tcBorders>
                  <w:noWrap w:val="0"/>
                  <w:vAlign w:val="center"/>
                </w:tcPr>
                <w:p w14:paraId="300A91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lang w:val="en-US" w:eastAsia="zh-CN"/>
                    </w:rPr>
                  </w:pPr>
                </w:p>
              </w:tc>
              <w:tc>
                <w:tcPr>
                  <w:tcW w:w="757" w:type="dxa"/>
                  <w:tcBorders>
                    <w:tl2br w:val="nil"/>
                    <w:tr2bl w:val="nil"/>
                  </w:tcBorders>
                  <w:noWrap w:val="0"/>
                  <w:vAlign w:val="center"/>
                </w:tcPr>
                <w:p w14:paraId="08061F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ascii="Times New Roman" w:hAnsi="Times New Roman" w:eastAsia="宋体" w:cs="Times New Roman"/>
                      <w:color w:val="auto"/>
                      <w:kern w:val="0"/>
                      <w:sz w:val="21"/>
                      <w:szCs w:val="21"/>
                      <w:highlight w:val="none"/>
                      <w:lang w:val="en-US" w:eastAsia="zh-CN" w:bidi="ar-SA"/>
                    </w:rPr>
                  </w:pPr>
                </w:p>
              </w:tc>
              <w:tc>
                <w:tcPr>
                  <w:tcW w:w="868" w:type="dxa"/>
                  <w:tcBorders>
                    <w:tl2br w:val="nil"/>
                    <w:tr2bl w:val="nil"/>
                  </w:tcBorders>
                  <w:noWrap w:val="0"/>
                  <w:vAlign w:val="center"/>
                </w:tcPr>
                <w:p w14:paraId="1DFFE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661" w:type="dxa"/>
                  <w:vMerge w:val="continue"/>
                  <w:tcBorders>
                    <w:tl2br w:val="nil"/>
                    <w:tr2bl w:val="nil"/>
                  </w:tcBorders>
                  <w:noWrap w:val="0"/>
                  <w:vAlign w:val="center"/>
                </w:tcPr>
                <w:p w14:paraId="33F03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r>
            <w:tr w14:paraId="643648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tcBorders>
                    <w:tl2br w:val="nil"/>
                    <w:tr2bl w:val="nil"/>
                  </w:tcBorders>
                  <w:noWrap w:val="0"/>
                  <w:vAlign w:val="center"/>
                </w:tcPr>
                <w:p w14:paraId="0D37F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eastAsia="宋体"/>
                      <w:bCs/>
                      <w:color w:val="auto"/>
                      <w:szCs w:val="21"/>
                      <w:highlight w:val="none"/>
                      <w:lang w:eastAsia="zh-CN"/>
                    </w:rPr>
                  </w:pPr>
                  <w:r>
                    <w:rPr>
                      <w:rFonts w:hint="default"/>
                      <w:bCs/>
                      <w:color w:val="auto"/>
                      <w:szCs w:val="21"/>
                      <w:highlight w:val="none"/>
                    </w:rPr>
                    <w:t>DA0</w:t>
                  </w:r>
                  <w:r>
                    <w:rPr>
                      <w:rFonts w:hint="eastAsia"/>
                      <w:bCs/>
                      <w:color w:val="auto"/>
                      <w:szCs w:val="21"/>
                      <w:highlight w:val="none"/>
                    </w:rPr>
                    <w:t>0</w:t>
                  </w:r>
                  <w:r>
                    <w:rPr>
                      <w:rFonts w:hint="eastAsia"/>
                      <w:bCs/>
                      <w:color w:val="auto"/>
                      <w:szCs w:val="21"/>
                      <w:highlight w:val="none"/>
                      <w:lang w:val="en-US" w:eastAsia="zh-CN"/>
                    </w:rPr>
                    <w:t>8</w:t>
                  </w:r>
                </w:p>
              </w:tc>
              <w:tc>
                <w:tcPr>
                  <w:tcW w:w="645" w:type="dxa"/>
                  <w:vMerge w:val="continue"/>
                  <w:tcBorders>
                    <w:tl2br w:val="nil"/>
                    <w:tr2bl w:val="nil"/>
                  </w:tcBorders>
                  <w:noWrap w:val="0"/>
                  <w:vAlign w:val="center"/>
                </w:tcPr>
                <w:p w14:paraId="41577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szCs w:val="21"/>
                      <w:highlight w:val="none"/>
                    </w:rPr>
                  </w:pPr>
                </w:p>
              </w:tc>
              <w:tc>
                <w:tcPr>
                  <w:tcW w:w="661" w:type="dxa"/>
                  <w:vMerge w:val="continue"/>
                  <w:tcBorders>
                    <w:tl2br w:val="nil"/>
                    <w:tr2bl w:val="nil"/>
                  </w:tcBorders>
                  <w:noWrap w:val="0"/>
                  <w:vAlign w:val="center"/>
                </w:tcPr>
                <w:p w14:paraId="0E60D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c>
                <w:tcPr>
                  <w:tcW w:w="765" w:type="dxa"/>
                  <w:tcBorders>
                    <w:tl2br w:val="nil"/>
                    <w:tr2bl w:val="nil"/>
                  </w:tcBorders>
                  <w:noWrap w:val="0"/>
                  <w:vAlign w:val="center"/>
                </w:tcPr>
                <w:p w14:paraId="523372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08" w:type="dxa"/>
                  <w:tcBorders>
                    <w:tl2br w:val="nil"/>
                    <w:tr2bl w:val="nil"/>
                  </w:tcBorders>
                  <w:noWrap w:val="0"/>
                  <w:vAlign w:val="center"/>
                </w:tcPr>
                <w:p w14:paraId="6A2FC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34" w:type="dxa"/>
                  <w:tcBorders>
                    <w:tl2br w:val="nil"/>
                    <w:tr2bl w:val="nil"/>
                  </w:tcBorders>
                  <w:noWrap w:val="0"/>
                  <w:vAlign w:val="center"/>
                </w:tcPr>
                <w:p w14:paraId="6A547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eastAsia="宋体"/>
                      <w:color w:val="auto"/>
                      <w:kern w:val="0"/>
                      <w:szCs w:val="21"/>
                      <w:highlight w:val="none"/>
                      <w:lang w:val="en-US" w:eastAsia="zh-CN"/>
                    </w:rPr>
                  </w:pPr>
                </w:p>
              </w:tc>
              <w:tc>
                <w:tcPr>
                  <w:tcW w:w="681" w:type="dxa"/>
                  <w:vMerge w:val="continue"/>
                  <w:tcBorders>
                    <w:tl2br w:val="nil"/>
                    <w:tr2bl w:val="nil"/>
                  </w:tcBorders>
                  <w:noWrap w:val="0"/>
                  <w:vAlign w:val="center"/>
                </w:tcPr>
                <w:p w14:paraId="0AA5D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p>
              </w:tc>
              <w:tc>
                <w:tcPr>
                  <w:tcW w:w="757" w:type="dxa"/>
                  <w:tcBorders>
                    <w:tl2br w:val="nil"/>
                    <w:tr2bl w:val="nil"/>
                  </w:tcBorders>
                  <w:noWrap w:val="0"/>
                  <w:vAlign w:val="center"/>
                </w:tcPr>
                <w:p w14:paraId="2EE8E1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757" w:type="dxa"/>
                  <w:tcBorders>
                    <w:tl2br w:val="nil"/>
                    <w:tr2bl w:val="nil"/>
                  </w:tcBorders>
                  <w:noWrap w:val="0"/>
                  <w:vAlign w:val="center"/>
                </w:tcPr>
                <w:p w14:paraId="17FDDB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68" w:type="dxa"/>
                  <w:tcBorders>
                    <w:tl2br w:val="nil"/>
                    <w:tr2bl w:val="nil"/>
                  </w:tcBorders>
                  <w:noWrap w:val="0"/>
                  <w:vAlign w:val="center"/>
                </w:tcPr>
                <w:p w14:paraId="28768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eastAsia="宋体"/>
                      <w:color w:val="auto"/>
                      <w:kern w:val="0"/>
                      <w:szCs w:val="21"/>
                      <w:highlight w:val="none"/>
                      <w:lang w:val="en-US" w:eastAsia="zh-CN"/>
                    </w:rPr>
                  </w:pPr>
                </w:p>
              </w:tc>
              <w:tc>
                <w:tcPr>
                  <w:tcW w:w="661" w:type="dxa"/>
                  <w:vMerge w:val="continue"/>
                  <w:tcBorders>
                    <w:tl2br w:val="nil"/>
                    <w:tr2bl w:val="nil"/>
                  </w:tcBorders>
                  <w:noWrap w:val="0"/>
                  <w:vAlign w:val="center"/>
                </w:tcPr>
                <w:p w14:paraId="07BF9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r>
            <w:bookmarkEnd w:id="12"/>
            <w:bookmarkEnd w:id="13"/>
            <w:bookmarkEnd w:id="14"/>
            <w:bookmarkEnd w:id="15"/>
            <w:bookmarkEnd w:id="16"/>
            <w:bookmarkEnd w:id="17"/>
            <w:tr w14:paraId="2BFC0C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tcBorders>
                    <w:tl2br w:val="nil"/>
                    <w:tr2bl w:val="nil"/>
                  </w:tcBorders>
                  <w:noWrap w:val="0"/>
                  <w:vAlign w:val="center"/>
                </w:tcPr>
                <w:p w14:paraId="708C1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车间无组织</w:t>
                  </w:r>
                </w:p>
              </w:tc>
              <w:tc>
                <w:tcPr>
                  <w:tcW w:w="645" w:type="dxa"/>
                  <w:tcBorders>
                    <w:tl2br w:val="nil"/>
                    <w:tr2bl w:val="nil"/>
                  </w:tcBorders>
                  <w:noWrap w:val="0"/>
                  <w:vAlign w:val="center"/>
                </w:tcPr>
                <w:p w14:paraId="39F46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颗粒物</w:t>
                  </w:r>
                </w:p>
              </w:tc>
              <w:tc>
                <w:tcPr>
                  <w:tcW w:w="661" w:type="dxa"/>
                  <w:tcBorders>
                    <w:tl2br w:val="nil"/>
                    <w:tr2bl w:val="nil"/>
                  </w:tcBorders>
                  <w:noWrap w:val="0"/>
                  <w:vAlign w:val="center"/>
                </w:tcPr>
                <w:p w14:paraId="37455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r>
                    <w:rPr>
                      <w:rFonts w:hint="eastAsia"/>
                      <w:color w:val="auto"/>
                      <w:kern w:val="0"/>
                      <w:szCs w:val="21"/>
                      <w:highlight w:val="none"/>
                    </w:rPr>
                    <w:t>物料衡算法</w:t>
                  </w:r>
                </w:p>
              </w:tc>
              <w:tc>
                <w:tcPr>
                  <w:tcW w:w="765" w:type="dxa"/>
                  <w:tcBorders>
                    <w:tl2br w:val="nil"/>
                    <w:tr2bl w:val="nil"/>
                  </w:tcBorders>
                  <w:noWrap w:val="0"/>
                  <w:vAlign w:val="center"/>
                </w:tcPr>
                <w:p w14:paraId="1E66FE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08" w:type="dxa"/>
                  <w:tcBorders>
                    <w:tl2br w:val="nil"/>
                    <w:tr2bl w:val="nil"/>
                  </w:tcBorders>
                  <w:noWrap w:val="0"/>
                  <w:vAlign w:val="center"/>
                </w:tcPr>
                <w:p w14:paraId="1120B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eastAsia="宋体"/>
                      <w:color w:val="auto"/>
                      <w:kern w:val="0"/>
                      <w:szCs w:val="21"/>
                      <w:highlight w:val="none"/>
                      <w:lang w:val="en-US" w:eastAsia="zh-CN"/>
                    </w:rPr>
                  </w:pPr>
                </w:p>
              </w:tc>
              <w:tc>
                <w:tcPr>
                  <w:tcW w:w="834" w:type="dxa"/>
                  <w:tcBorders>
                    <w:tl2br w:val="nil"/>
                    <w:tr2bl w:val="nil"/>
                  </w:tcBorders>
                  <w:noWrap w:val="0"/>
                  <w:vAlign w:val="center"/>
                </w:tcPr>
                <w:p w14:paraId="31932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color w:val="auto"/>
                      <w:kern w:val="0"/>
                      <w:szCs w:val="21"/>
                      <w:highlight w:val="none"/>
                    </w:rPr>
                  </w:pPr>
                  <w:r>
                    <w:rPr>
                      <w:rFonts w:hint="eastAsia"/>
                      <w:color w:val="auto"/>
                      <w:kern w:val="0"/>
                      <w:szCs w:val="21"/>
                      <w:highlight w:val="none"/>
                    </w:rPr>
                    <w:t>/</w:t>
                  </w:r>
                </w:p>
              </w:tc>
              <w:tc>
                <w:tcPr>
                  <w:tcW w:w="681" w:type="dxa"/>
                  <w:tcBorders>
                    <w:tl2br w:val="nil"/>
                    <w:tr2bl w:val="nil"/>
                  </w:tcBorders>
                  <w:noWrap w:val="0"/>
                  <w:vAlign w:val="center"/>
                </w:tcPr>
                <w:p w14:paraId="1D203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color w:val="auto"/>
                      <w:kern w:val="0"/>
                      <w:szCs w:val="21"/>
                      <w:highlight w:val="none"/>
                    </w:rPr>
                  </w:pPr>
                  <w:r>
                    <w:rPr>
                      <w:rFonts w:hint="default"/>
                      <w:color w:val="auto"/>
                      <w:kern w:val="0"/>
                      <w:szCs w:val="21"/>
                      <w:highlight w:val="none"/>
                    </w:rPr>
                    <w:t>物料衡算法</w:t>
                  </w:r>
                </w:p>
              </w:tc>
              <w:tc>
                <w:tcPr>
                  <w:tcW w:w="757" w:type="dxa"/>
                  <w:tcBorders>
                    <w:tl2br w:val="nil"/>
                    <w:tr2bl w:val="nil"/>
                  </w:tcBorders>
                  <w:noWrap w:val="0"/>
                  <w:vAlign w:val="center"/>
                </w:tcPr>
                <w:p w14:paraId="1DF6E0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ascii="Times New Roman" w:hAnsi="Times New Roman" w:eastAsia="宋体" w:cs="Times New Roman"/>
                      <w:color w:val="auto"/>
                      <w:kern w:val="0"/>
                      <w:sz w:val="21"/>
                      <w:szCs w:val="21"/>
                      <w:highlight w:val="none"/>
                      <w:lang w:val="en-US" w:eastAsia="zh-CN" w:bidi="ar-SA"/>
                    </w:rPr>
                  </w:pPr>
                </w:p>
              </w:tc>
              <w:tc>
                <w:tcPr>
                  <w:tcW w:w="757" w:type="dxa"/>
                  <w:tcBorders>
                    <w:tl2br w:val="nil"/>
                    <w:tr2bl w:val="nil"/>
                  </w:tcBorders>
                  <w:noWrap w:val="0"/>
                  <w:vAlign w:val="center"/>
                </w:tcPr>
                <w:p w14:paraId="0C3A92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default" w:ascii="Times New Roman" w:hAnsi="Times New Roman" w:eastAsia="宋体" w:cs="Times New Roman"/>
                      <w:color w:val="auto"/>
                      <w:kern w:val="0"/>
                      <w:sz w:val="21"/>
                      <w:szCs w:val="21"/>
                      <w:highlight w:val="none"/>
                      <w:lang w:val="en-US" w:eastAsia="zh-CN" w:bidi="ar-SA"/>
                    </w:rPr>
                  </w:pPr>
                </w:p>
              </w:tc>
              <w:tc>
                <w:tcPr>
                  <w:tcW w:w="868" w:type="dxa"/>
                  <w:tcBorders>
                    <w:tl2br w:val="nil"/>
                    <w:tr2bl w:val="nil"/>
                  </w:tcBorders>
                  <w:noWrap w:val="0"/>
                  <w:vAlign w:val="center"/>
                </w:tcPr>
                <w:p w14:paraId="6AF30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center"/>
                    <w:rPr>
                      <w:rFonts w:hint="default"/>
                      <w:color w:val="auto"/>
                      <w:kern w:val="0"/>
                      <w:szCs w:val="21"/>
                      <w:highlight w:val="none"/>
                    </w:rPr>
                  </w:pPr>
                  <w:r>
                    <w:rPr>
                      <w:rFonts w:hint="eastAsia"/>
                      <w:color w:val="auto"/>
                      <w:kern w:val="0"/>
                      <w:szCs w:val="21"/>
                      <w:highlight w:val="none"/>
                    </w:rPr>
                    <w:t>/</w:t>
                  </w:r>
                </w:p>
              </w:tc>
              <w:tc>
                <w:tcPr>
                  <w:tcW w:w="661" w:type="dxa"/>
                  <w:vMerge w:val="continue"/>
                  <w:tcBorders>
                    <w:tl2br w:val="nil"/>
                    <w:tr2bl w:val="nil"/>
                  </w:tcBorders>
                  <w:noWrap w:val="0"/>
                  <w:vAlign w:val="center"/>
                </w:tcPr>
                <w:p w14:paraId="68B38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rPr>
                      <w:rFonts w:hint="eastAsia"/>
                      <w:color w:val="auto"/>
                      <w:kern w:val="0"/>
                      <w:szCs w:val="21"/>
                      <w:highlight w:val="none"/>
                    </w:rPr>
                  </w:pPr>
                </w:p>
              </w:tc>
            </w:tr>
          </w:tbl>
          <w:p w14:paraId="48FBE1FE">
            <w:pPr>
              <w:keepNext w:val="0"/>
              <w:keepLines w:val="0"/>
              <w:suppressLineNumbers w:val="0"/>
              <w:spacing w:before="0" w:beforeAutospacing="0" w:after="0" w:afterAutospacing="0"/>
              <w:ind w:left="0" w:right="0" w:firstLine="422" w:firstLineChars="200"/>
              <w:rPr>
                <w:rFonts w:hint="default"/>
                <w:b/>
                <w:bCs/>
                <w:color w:val="auto"/>
                <w:szCs w:val="21"/>
                <w:highlight w:val="none"/>
              </w:rPr>
            </w:pPr>
            <w:r>
              <w:rPr>
                <w:rFonts w:hint="default"/>
                <w:b/>
                <w:bCs/>
                <w:color w:val="auto"/>
                <w:szCs w:val="21"/>
                <w:highlight w:val="none"/>
              </w:rPr>
              <w:t>（</w:t>
            </w:r>
            <w:r>
              <w:rPr>
                <w:rFonts w:hint="eastAsia"/>
                <w:b/>
                <w:bCs/>
                <w:color w:val="auto"/>
                <w:szCs w:val="21"/>
                <w:highlight w:val="none"/>
              </w:rPr>
              <w:t>2</w:t>
            </w:r>
            <w:r>
              <w:rPr>
                <w:rFonts w:hint="default"/>
                <w:b/>
                <w:bCs/>
                <w:color w:val="auto"/>
                <w:szCs w:val="21"/>
                <w:highlight w:val="none"/>
              </w:rPr>
              <w:t>）废气</w:t>
            </w:r>
            <w:r>
              <w:rPr>
                <w:rFonts w:hint="eastAsia"/>
                <w:b/>
                <w:bCs/>
                <w:color w:val="auto"/>
                <w:szCs w:val="21"/>
                <w:highlight w:val="none"/>
              </w:rPr>
              <w:t>污染物排放量核算</w:t>
            </w:r>
          </w:p>
          <w:p w14:paraId="232110B4">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lang w:val="zh-CN"/>
              </w:rPr>
            </w:pPr>
            <w:r>
              <w:rPr>
                <w:rFonts w:hint="default"/>
                <w:b/>
                <w:bCs/>
                <w:color w:val="auto"/>
                <w:sz w:val="21"/>
                <w:szCs w:val="21"/>
                <w:highlight w:val="none"/>
                <w:lang w:val="zh-CN"/>
              </w:rPr>
              <w:t>表</w:t>
            </w:r>
            <w:r>
              <w:rPr>
                <w:rFonts w:hint="eastAsia"/>
                <w:b/>
                <w:bCs/>
                <w:color w:val="auto"/>
                <w:sz w:val="21"/>
                <w:szCs w:val="21"/>
                <w:highlight w:val="none"/>
              </w:rPr>
              <w:t>4-</w:t>
            </w:r>
            <w:r>
              <w:rPr>
                <w:rFonts w:hint="eastAsia"/>
                <w:b/>
                <w:bCs/>
                <w:color w:val="auto"/>
                <w:sz w:val="21"/>
                <w:szCs w:val="21"/>
                <w:highlight w:val="none"/>
                <w:lang w:val="en-US" w:eastAsia="zh-CN"/>
              </w:rPr>
              <w:t>9</w:t>
            </w:r>
            <w:r>
              <w:rPr>
                <w:rFonts w:hint="eastAsia"/>
                <w:b/>
                <w:bCs/>
                <w:color w:val="auto"/>
                <w:sz w:val="21"/>
                <w:szCs w:val="21"/>
                <w:highlight w:val="none"/>
              </w:rPr>
              <w:t xml:space="preserve">  </w:t>
            </w:r>
            <w:r>
              <w:rPr>
                <w:rFonts w:hint="default"/>
                <w:b/>
                <w:bCs/>
                <w:color w:val="auto"/>
                <w:sz w:val="21"/>
                <w:szCs w:val="21"/>
                <w:highlight w:val="none"/>
              </w:rPr>
              <w:t>项目废气有组织排放量核算表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00"/>
              <w:gridCol w:w="1586"/>
              <w:gridCol w:w="1583"/>
              <w:gridCol w:w="1588"/>
              <w:gridCol w:w="1448"/>
            </w:tblGrid>
            <w:tr w14:paraId="627707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1" w:type="dxa"/>
                  <w:noWrap w:val="0"/>
                  <w:vAlign w:val="center"/>
                </w:tcPr>
                <w:p w14:paraId="2B6B1FF3">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序号</w:t>
                  </w:r>
                </w:p>
              </w:tc>
              <w:tc>
                <w:tcPr>
                  <w:tcW w:w="1400" w:type="dxa"/>
                  <w:noWrap w:val="0"/>
                  <w:vAlign w:val="center"/>
                </w:tcPr>
                <w:p w14:paraId="613CD52F">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排放口编号</w:t>
                  </w:r>
                </w:p>
              </w:tc>
              <w:tc>
                <w:tcPr>
                  <w:tcW w:w="1586" w:type="dxa"/>
                  <w:noWrap w:val="0"/>
                  <w:vAlign w:val="center"/>
                </w:tcPr>
                <w:p w14:paraId="21016595">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污染物</w:t>
                  </w:r>
                </w:p>
              </w:tc>
              <w:tc>
                <w:tcPr>
                  <w:tcW w:w="1583" w:type="dxa"/>
                  <w:noWrap w:val="0"/>
                  <w:vAlign w:val="center"/>
                </w:tcPr>
                <w:p w14:paraId="23143ADB">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核算排放浓度</w:t>
                  </w:r>
                  <w:r>
                    <w:rPr>
                      <w:rFonts w:hint="default"/>
                      <w:b/>
                      <w:color w:val="auto"/>
                      <w:szCs w:val="21"/>
                      <w:highlight w:val="none"/>
                      <w:lang w:bidi="ar"/>
                    </w:rPr>
                    <w:t>（mg/m</w:t>
                  </w:r>
                  <w:r>
                    <w:rPr>
                      <w:rFonts w:hint="default"/>
                      <w:b/>
                      <w:color w:val="auto"/>
                      <w:szCs w:val="21"/>
                      <w:highlight w:val="none"/>
                      <w:vertAlign w:val="superscript"/>
                      <w:lang w:bidi="ar"/>
                    </w:rPr>
                    <w:t>3</w:t>
                  </w:r>
                  <w:r>
                    <w:rPr>
                      <w:rFonts w:hint="default"/>
                      <w:b/>
                      <w:color w:val="auto"/>
                      <w:szCs w:val="21"/>
                      <w:highlight w:val="none"/>
                      <w:lang w:bidi="ar"/>
                    </w:rPr>
                    <w:t>）</w:t>
                  </w:r>
                </w:p>
              </w:tc>
              <w:tc>
                <w:tcPr>
                  <w:tcW w:w="1588" w:type="dxa"/>
                  <w:noWrap w:val="0"/>
                  <w:vAlign w:val="center"/>
                </w:tcPr>
                <w:p w14:paraId="17E54C24">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核算排放速率</w:t>
                  </w:r>
                  <w:r>
                    <w:rPr>
                      <w:rFonts w:hint="default"/>
                      <w:b/>
                      <w:color w:val="auto"/>
                      <w:szCs w:val="21"/>
                      <w:highlight w:val="none"/>
                    </w:rPr>
                    <w:t>kg/h</w:t>
                  </w:r>
                </w:p>
              </w:tc>
              <w:tc>
                <w:tcPr>
                  <w:tcW w:w="1448" w:type="dxa"/>
                  <w:noWrap w:val="0"/>
                  <w:vAlign w:val="center"/>
                </w:tcPr>
                <w:p w14:paraId="4CFD2F4F">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核算年排放量t/a</w:t>
                  </w:r>
                </w:p>
              </w:tc>
            </w:tr>
            <w:tr w14:paraId="134BE8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14:paraId="56F5B0F6">
                  <w:pPr>
                    <w:keepNext w:val="0"/>
                    <w:keepLines w:val="0"/>
                    <w:suppressLineNumbers w:val="0"/>
                    <w:spacing w:before="0" w:beforeAutospacing="0" w:after="0" w:afterAutospacing="0" w:line="240" w:lineRule="auto"/>
                    <w:ind w:left="0" w:right="0"/>
                    <w:jc w:val="center"/>
                    <w:rPr>
                      <w:rFonts w:hint="eastAsia"/>
                      <w:color w:val="auto"/>
                      <w:szCs w:val="21"/>
                      <w:highlight w:val="none"/>
                    </w:rPr>
                  </w:pPr>
                  <w:bookmarkStart w:id="18" w:name="OLE_LINK69" w:colFirst="3" w:colLast="3"/>
                  <w:bookmarkStart w:id="19" w:name="OLE_LINK91" w:colFirst="4" w:colLast="4"/>
                  <w:r>
                    <w:rPr>
                      <w:rFonts w:hint="eastAsia"/>
                      <w:color w:val="auto"/>
                      <w:szCs w:val="21"/>
                      <w:highlight w:val="none"/>
                    </w:rPr>
                    <w:t>1</w:t>
                  </w:r>
                </w:p>
              </w:tc>
              <w:tc>
                <w:tcPr>
                  <w:tcW w:w="1400" w:type="dxa"/>
                  <w:noWrap w:val="0"/>
                  <w:vAlign w:val="center"/>
                </w:tcPr>
                <w:p w14:paraId="35013FD9">
                  <w:pPr>
                    <w:keepNext w:val="0"/>
                    <w:keepLines w:val="0"/>
                    <w:suppressLineNumbers w:val="0"/>
                    <w:spacing w:before="0" w:beforeAutospacing="0" w:after="0" w:afterAutospacing="0" w:line="240" w:lineRule="auto"/>
                    <w:ind w:left="0" w:right="0"/>
                    <w:jc w:val="center"/>
                    <w:rPr>
                      <w:rFonts w:hint="default"/>
                      <w:bCs/>
                      <w:color w:val="auto"/>
                      <w:szCs w:val="21"/>
                      <w:highlight w:val="none"/>
                    </w:rPr>
                  </w:pPr>
                  <w:r>
                    <w:rPr>
                      <w:rFonts w:hint="default"/>
                      <w:bCs/>
                      <w:color w:val="auto"/>
                      <w:szCs w:val="21"/>
                      <w:highlight w:val="none"/>
                    </w:rPr>
                    <w:t>DA0</w:t>
                  </w:r>
                  <w:r>
                    <w:rPr>
                      <w:rFonts w:hint="eastAsia"/>
                      <w:bCs/>
                      <w:color w:val="auto"/>
                      <w:szCs w:val="21"/>
                      <w:highlight w:val="none"/>
                    </w:rPr>
                    <w:t>01</w:t>
                  </w:r>
                </w:p>
              </w:tc>
              <w:tc>
                <w:tcPr>
                  <w:tcW w:w="1586" w:type="dxa"/>
                  <w:noWrap w:val="0"/>
                  <w:vAlign w:val="center"/>
                </w:tcPr>
                <w:p w14:paraId="338CC905">
                  <w:pPr>
                    <w:keepNext w:val="0"/>
                    <w:keepLines w:val="0"/>
                    <w:widowControl/>
                    <w:suppressLineNumbers w:val="0"/>
                    <w:spacing w:before="0" w:beforeAutospacing="0" w:after="0" w:afterAutospacing="0" w:line="240" w:lineRule="auto"/>
                    <w:ind w:left="0" w:right="0"/>
                    <w:jc w:val="center"/>
                    <w:textAlignment w:val="center"/>
                    <w:rPr>
                      <w:rFonts w:hint="default"/>
                      <w:color w:val="auto"/>
                      <w:szCs w:val="21"/>
                      <w:highlight w:val="none"/>
                    </w:rPr>
                  </w:pPr>
                  <w:r>
                    <w:rPr>
                      <w:rFonts w:hint="eastAsia"/>
                      <w:color w:val="auto"/>
                      <w:szCs w:val="21"/>
                      <w:highlight w:val="none"/>
                    </w:rPr>
                    <w:t>颗粒物</w:t>
                  </w:r>
                </w:p>
              </w:tc>
              <w:tc>
                <w:tcPr>
                  <w:tcW w:w="1583" w:type="dxa"/>
                  <w:noWrap w:val="0"/>
                  <w:vAlign w:val="center"/>
                </w:tcPr>
                <w:p w14:paraId="4FCCED31">
                  <w:pPr>
                    <w:keepNext w:val="0"/>
                    <w:keepLines w:val="0"/>
                    <w:widowControl/>
                    <w:suppressLineNumbers w:val="0"/>
                    <w:spacing w:before="0" w:beforeAutospacing="0" w:after="0" w:afterAutospacing="0" w:line="240" w:lineRule="auto"/>
                    <w:ind w:left="-42" w:leftChars="-20" w:right="-42" w:rightChars="-2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1588" w:type="dxa"/>
                  <w:noWrap w:val="0"/>
                  <w:vAlign w:val="center"/>
                </w:tcPr>
                <w:p w14:paraId="31E61463">
                  <w:pPr>
                    <w:keepNext w:val="0"/>
                    <w:keepLines w:val="0"/>
                    <w:suppressLineNumbers w:val="0"/>
                    <w:spacing w:before="0" w:beforeAutospacing="0" w:after="0" w:afterAutospacing="0" w:line="240" w:lineRule="auto"/>
                    <w:ind w:left="-42" w:leftChars="-20" w:right="-42" w:rightChars="-20"/>
                    <w:jc w:val="center"/>
                    <w:rPr>
                      <w:rFonts w:hint="default" w:ascii="Times New Roman" w:hAnsi="Times New Roman" w:eastAsia="宋体" w:cs="Times New Roman"/>
                      <w:color w:val="auto"/>
                      <w:kern w:val="0"/>
                      <w:sz w:val="21"/>
                      <w:szCs w:val="21"/>
                      <w:highlight w:val="none"/>
                      <w:lang w:val="en-US" w:eastAsia="zh-CN" w:bidi="ar-SA"/>
                    </w:rPr>
                  </w:pPr>
                </w:p>
              </w:tc>
              <w:tc>
                <w:tcPr>
                  <w:tcW w:w="1448" w:type="dxa"/>
                  <w:noWrap w:val="0"/>
                  <w:vAlign w:val="center"/>
                </w:tcPr>
                <w:p w14:paraId="2877C823">
                  <w:pPr>
                    <w:keepNext w:val="0"/>
                    <w:keepLines w:val="0"/>
                    <w:suppressLineNumbers w:val="0"/>
                    <w:spacing w:before="0" w:beforeAutospacing="0" w:after="0" w:afterAutospacing="0" w:line="240" w:lineRule="auto"/>
                    <w:ind w:left="-42" w:leftChars="-20" w:right="-42" w:rightChars="-20"/>
                    <w:jc w:val="center"/>
                    <w:rPr>
                      <w:rFonts w:hint="default" w:ascii="Times New Roman" w:hAnsi="Times New Roman" w:eastAsia="宋体" w:cs="Times New Roman"/>
                      <w:color w:val="auto"/>
                      <w:kern w:val="0"/>
                      <w:sz w:val="21"/>
                      <w:szCs w:val="21"/>
                      <w:highlight w:val="none"/>
                      <w:lang w:val="en-US" w:eastAsia="zh-CN" w:bidi="ar-SA"/>
                    </w:rPr>
                  </w:pPr>
                </w:p>
              </w:tc>
            </w:tr>
            <w:tr w14:paraId="513D28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14:paraId="0F7F00B5">
                  <w:pPr>
                    <w:keepNext w:val="0"/>
                    <w:keepLines w:val="0"/>
                    <w:suppressLineNumbers w:val="0"/>
                    <w:spacing w:before="0" w:beforeAutospacing="0" w:after="0" w:afterAutospacing="0" w:line="240" w:lineRule="auto"/>
                    <w:ind w:left="0" w:right="0"/>
                    <w:jc w:val="center"/>
                    <w:rPr>
                      <w:rFonts w:hint="default"/>
                      <w:color w:val="auto"/>
                      <w:szCs w:val="21"/>
                      <w:highlight w:val="none"/>
                    </w:rPr>
                  </w:pPr>
                  <w:r>
                    <w:rPr>
                      <w:rFonts w:hint="eastAsia"/>
                      <w:color w:val="auto"/>
                      <w:szCs w:val="21"/>
                      <w:highlight w:val="none"/>
                    </w:rPr>
                    <w:t>2</w:t>
                  </w:r>
                </w:p>
              </w:tc>
              <w:tc>
                <w:tcPr>
                  <w:tcW w:w="1400" w:type="dxa"/>
                  <w:noWrap w:val="0"/>
                  <w:vAlign w:val="center"/>
                </w:tcPr>
                <w:p w14:paraId="3C0D6560">
                  <w:pPr>
                    <w:keepNext w:val="0"/>
                    <w:keepLines w:val="0"/>
                    <w:suppressLineNumbers w:val="0"/>
                    <w:spacing w:before="0" w:beforeAutospacing="0" w:after="0" w:afterAutospacing="0" w:line="240" w:lineRule="auto"/>
                    <w:ind w:left="0" w:right="0"/>
                    <w:jc w:val="center"/>
                    <w:rPr>
                      <w:rFonts w:hint="default"/>
                      <w:bCs/>
                      <w:color w:val="auto"/>
                      <w:szCs w:val="21"/>
                      <w:highlight w:val="none"/>
                    </w:rPr>
                  </w:pPr>
                  <w:bookmarkStart w:id="20" w:name="OLE_LINK10"/>
                  <w:r>
                    <w:rPr>
                      <w:rFonts w:hint="default"/>
                      <w:bCs/>
                      <w:color w:val="auto"/>
                      <w:szCs w:val="21"/>
                      <w:highlight w:val="none"/>
                    </w:rPr>
                    <w:t>DA0</w:t>
                  </w:r>
                  <w:r>
                    <w:rPr>
                      <w:rFonts w:hint="eastAsia"/>
                      <w:bCs/>
                      <w:color w:val="auto"/>
                      <w:szCs w:val="21"/>
                      <w:highlight w:val="none"/>
                    </w:rPr>
                    <w:t>0</w:t>
                  </w:r>
                  <w:bookmarkEnd w:id="20"/>
                  <w:r>
                    <w:rPr>
                      <w:rFonts w:hint="eastAsia"/>
                      <w:bCs/>
                      <w:color w:val="auto"/>
                      <w:szCs w:val="21"/>
                      <w:highlight w:val="none"/>
                    </w:rPr>
                    <w:t>2</w:t>
                  </w:r>
                </w:p>
              </w:tc>
              <w:tc>
                <w:tcPr>
                  <w:tcW w:w="1586" w:type="dxa"/>
                  <w:noWrap w:val="0"/>
                  <w:vAlign w:val="center"/>
                </w:tcPr>
                <w:p w14:paraId="0E1CFAD6">
                  <w:pPr>
                    <w:keepNext w:val="0"/>
                    <w:keepLines w:val="0"/>
                    <w:widowControl/>
                    <w:suppressLineNumbers w:val="0"/>
                    <w:spacing w:before="0" w:beforeAutospacing="0" w:after="0" w:afterAutospacing="0" w:line="240" w:lineRule="auto"/>
                    <w:ind w:left="0" w:right="0"/>
                    <w:jc w:val="center"/>
                    <w:textAlignment w:val="center"/>
                    <w:rPr>
                      <w:rFonts w:hint="eastAsia"/>
                      <w:color w:val="auto"/>
                      <w:szCs w:val="21"/>
                      <w:highlight w:val="none"/>
                    </w:rPr>
                  </w:pPr>
                  <w:r>
                    <w:rPr>
                      <w:rFonts w:hint="eastAsia"/>
                      <w:color w:val="auto"/>
                      <w:szCs w:val="21"/>
                      <w:highlight w:val="none"/>
                    </w:rPr>
                    <w:t>颗粒物</w:t>
                  </w:r>
                </w:p>
              </w:tc>
              <w:tc>
                <w:tcPr>
                  <w:tcW w:w="1583" w:type="dxa"/>
                  <w:noWrap w:val="0"/>
                  <w:vAlign w:val="center"/>
                </w:tcPr>
                <w:p w14:paraId="2A4B729D">
                  <w:pPr>
                    <w:keepNext w:val="0"/>
                    <w:keepLines w:val="0"/>
                    <w:widowControl/>
                    <w:suppressLineNumbers w:val="0"/>
                    <w:spacing w:before="0" w:beforeAutospacing="0" w:after="0" w:afterAutospacing="0" w:line="240" w:lineRule="auto"/>
                    <w:ind w:left="-42" w:leftChars="-20" w:right="-42" w:rightChars="-2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1588" w:type="dxa"/>
                  <w:noWrap w:val="0"/>
                  <w:vAlign w:val="center"/>
                </w:tcPr>
                <w:p w14:paraId="1B02227D">
                  <w:pPr>
                    <w:keepNext w:val="0"/>
                    <w:keepLines w:val="0"/>
                    <w:suppressLineNumbers w:val="0"/>
                    <w:spacing w:before="0" w:beforeAutospacing="0" w:after="0" w:afterAutospacing="0" w:line="240" w:lineRule="auto"/>
                    <w:ind w:left="-42" w:leftChars="-20" w:right="-42" w:rightChars="-20"/>
                    <w:jc w:val="center"/>
                    <w:rPr>
                      <w:rFonts w:hint="default" w:ascii="Times New Roman" w:hAnsi="Times New Roman" w:eastAsia="宋体" w:cs="Times New Roman"/>
                      <w:color w:val="auto"/>
                      <w:kern w:val="0"/>
                      <w:sz w:val="21"/>
                      <w:szCs w:val="21"/>
                      <w:highlight w:val="none"/>
                      <w:lang w:val="en-US" w:eastAsia="zh-CN" w:bidi="ar-SA"/>
                    </w:rPr>
                  </w:pPr>
                </w:p>
              </w:tc>
              <w:tc>
                <w:tcPr>
                  <w:tcW w:w="1448" w:type="dxa"/>
                  <w:noWrap w:val="0"/>
                  <w:vAlign w:val="center"/>
                </w:tcPr>
                <w:p w14:paraId="42CDBD5C">
                  <w:pPr>
                    <w:keepNext w:val="0"/>
                    <w:keepLines w:val="0"/>
                    <w:suppressLineNumbers w:val="0"/>
                    <w:spacing w:before="0" w:beforeAutospacing="0" w:after="0" w:afterAutospacing="0" w:line="240" w:lineRule="auto"/>
                    <w:ind w:left="-42" w:leftChars="-20" w:right="-42" w:rightChars="-20"/>
                    <w:jc w:val="center"/>
                    <w:rPr>
                      <w:rFonts w:hint="default" w:ascii="Times New Roman" w:hAnsi="Times New Roman" w:eastAsia="宋体" w:cs="Times New Roman"/>
                      <w:color w:val="auto"/>
                      <w:kern w:val="0"/>
                      <w:sz w:val="21"/>
                      <w:szCs w:val="21"/>
                      <w:highlight w:val="none"/>
                      <w:lang w:val="en-US" w:eastAsia="zh-CN" w:bidi="ar-SA"/>
                    </w:rPr>
                  </w:pPr>
                </w:p>
              </w:tc>
            </w:tr>
            <w:tr w14:paraId="639336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14:paraId="29D74421">
                  <w:pPr>
                    <w:keepNext w:val="0"/>
                    <w:keepLines w:val="0"/>
                    <w:suppressLineNumbers w:val="0"/>
                    <w:spacing w:before="0" w:beforeAutospacing="0" w:after="0" w:afterAutospacing="0" w:line="240" w:lineRule="auto"/>
                    <w:ind w:left="0" w:right="0"/>
                    <w:jc w:val="center"/>
                    <w:rPr>
                      <w:rFonts w:hint="eastAsia" w:eastAsia="宋体"/>
                      <w:color w:val="auto"/>
                      <w:szCs w:val="21"/>
                      <w:highlight w:val="none"/>
                      <w:lang w:val="en-US" w:eastAsia="zh-CN"/>
                    </w:rPr>
                  </w:pPr>
                  <w:bookmarkStart w:id="21" w:name="OLE_LINK26" w:colFirst="3" w:colLast="4"/>
                  <w:r>
                    <w:rPr>
                      <w:rFonts w:hint="eastAsia"/>
                      <w:color w:val="auto"/>
                      <w:szCs w:val="21"/>
                      <w:highlight w:val="none"/>
                      <w:lang w:val="en-US" w:eastAsia="zh-CN"/>
                    </w:rPr>
                    <w:t>3</w:t>
                  </w:r>
                </w:p>
              </w:tc>
              <w:tc>
                <w:tcPr>
                  <w:tcW w:w="1400" w:type="dxa"/>
                  <w:noWrap w:val="0"/>
                  <w:vAlign w:val="center"/>
                </w:tcPr>
                <w:p w14:paraId="016DCBF6">
                  <w:pPr>
                    <w:keepNext w:val="0"/>
                    <w:keepLines w:val="0"/>
                    <w:suppressLineNumbers w:val="0"/>
                    <w:spacing w:before="0" w:beforeAutospacing="0" w:after="0" w:afterAutospacing="0" w:line="240" w:lineRule="auto"/>
                    <w:ind w:left="0" w:right="0"/>
                    <w:jc w:val="center"/>
                    <w:rPr>
                      <w:rFonts w:hint="default"/>
                      <w:bCs/>
                      <w:color w:val="auto"/>
                      <w:szCs w:val="21"/>
                      <w:highlight w:val="none"/>
                    </w:rPr>
                  </w:pPr>
                  <w:r>
                    <w:rPr>
                      <w:rFonts w:hint="default"/>
                      <w:bCs/>
                      <w:color w:val="auto"/>
                      <w:szCs w:val="21"/>
                      <w:highlight w:val="none"/>
                    </w:rPr>
                    <w:t>DA0</w:t>
                  </w:r>
                  <w:r>
                    <w:rPr>
                      <w:rFonts w:hint="eastAsia"/>
                      <w:bCs/>
                      <w:color w:val="auto"/>
                      <w:szCs w:val="21"/>
                      <w:highlight w:val="none"/>
                    </w:rPr>
                    <w:t>03</w:t>
                  </w:r>
                </w:p>
              </w:tc>
              <w:tc>
                <w:tcPr>
                  <w:tcW w:w="1586" w:type="dxa"/>
                  <w:noWrap w:val="0"/>
                  <w:vAlign w:val="center"/>
                </w:tcPr>
                <w:p w14:paraId="6FE5035D">
                  <w:pPr>
                    <w:keepNext w:val="0"/>
                    <w:keepLines w:val="0"/>
                    <w:widowControl/>
                    <w:suppressLineNumbers w:val="0"/>
                    <w:spacing w:before="0" w:beforeAutospacing="0" w:after="0" w:afterAutospacing="0" w:line="240" w:lineRule="auto"/>
                    <w:ind w:left="0" w:right="0"/>
                    <w:jc w:val="center"/>
                    <w:textAlignment w:val="center"/>
                    <w:rPr>
                      <w:rFonts w:hint="eastAsia"/>
                      <w:color w:val="auto"/>
                      <w:szCs w:val="21"/>
                      <w:highlight w:val="none"/>
                    </w:rPr>
                  </w:pPr>
                  <w:r>
                    <w:rPr>
                      <w:rFonts w:hint="eastAsia"/>
                      <w:color w:val="auto"/>
                      <w:szCs w:val="21"/>
                      <w:highlight w:val="none"/>
                    </w:rPr>
                    <w:t>颗粒物</w:t>
                  </w:r>
                </w:p>
              </w:tc>
              <w:tc>
                <w:tcPr>
                  <w:tcW w:w="1583" w:type="dxa"/>
                  <w:noWrap w:val="0"/>
                  <w:vAlign w:val="center"/>
                </w:tcPr>
                <w:p w14:paraId="4E70676B">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p>
              </w:tc>
              <w:tc>
                <w:tcPr>
                  <w:tcW w:w="1588" w:type="dxa"/>
                  <w:noWrap w:val="0"/>
                  <w:vAlign w:val="center"/>
                </w:tcPr>
                <w:p w14:paraId="7B858D33">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p>
              </w:tc>
              <w:tc>
                <w:tcPr>
                  <w:tcW w:w="1448" w:type="dxa"/>
                  <w:noWrap w:val="0"/>
                  <w:vAlign w:val="center"/>
                </w:tcPr>
                <w:p w14:paraId="2D8FA2C2">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p>
              </w:tc>
            </w:tr>
            <w:tr w14:paraId="7B2C5C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14:paraId="03A2D7F9">
                  <w:pPr>
                    <w:keepNext w:val="0"/>
                    <w:keepLines w:val="0"/>
                    <w:suppressLineNumbers w:val="0"/>
                    <w:spacing w:before="0" w:beforeAutospacing="0" w:after="0" w:afterAutospacing="0" w:line="240" w:lineRule="auto"/>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4</w:t>
                  </w:r>
                </w:p>
              </w:tc>
              <w:tc>
                <w:tcPr>
                  <w:tcW w:w="1400" w:type="dxa"/>
                  <w:noWrap w:val="0"/>
                  <w:vAlign w:val="center"/>
                </w:tcPr>
                <w:p w14:paraId="05C88D5B">
                  <w:pPr>
                    <w:keepNext w:val="0"/>
                    <w:keepLines w:val="0"/>
                    <w:suppressLineNumbers w:val="0"/>
                    <w:spacing w:before="0" w:beforeAutospacing="0" w:after="0" w:afterAutospacing="0" w:line="240" w:lineRule="auto"/>
                    <w:ind w:left="0" w:right="0"/>
                    <w:jc w:val="center"/>
                    <w:rPr>
                      <w:rFonts w:hint="eastAsia" w:eastAsia="宋体"/>
                      <w:bCs/>
                      <w:color w:val="auto"/>
                      <w:szCs w:val="21"/>
                      <w:highlight w:val="none"/>
                      <w:lang w:eastAsia="zh-CN"/>
                    </w:rPr>
                  </w:pPr>
                  <w:r>
                    <w:rPr>
                      <w:rFonts w:hint="default"/>
                      <w:bCs/>
                      <w:color w:val="auto"/>
                      <w:szCs w:val="21"/>
                      <w:highlight w:val="none"/>
                    </w:rPr>
                    <w:t>DA0</w:t>
                  </w:r>
                  <w:r>
                    <w:rPr>
                      <w:rFonts w:hint="eastAsia"/>
                      <w:bCs/>
                      <w:color w:val="auto"/>
                      <w:szCs w:val="21"/>
                      <w:highlight w:val="none"/>
                    </w:rPr>
                    <w:t>0</w:t>
                  </w:r>
                  <w:r>
                    <w:rPr>
                      <w:rFonts w:hint="eastAsia"/>
                      <w:bCs/>
                      <w:color w:val="auto"/>
                      <w:szCs w:val="21"/>
                      <w:highlight w:val="none"/>
                      <w:lang w:val="en-US" w:eastAsia="zh-CN"/>
                    </w:rPr>
                    <w:t>4</w:t>
                  </w:r>
                </w:p>
              </w:tc>
              <w:tc>
                <w:tcPr>
                  <w:tcW w:w="1586" w:type="dxa"/>
                  <w:noWrap w:val="0"/>
                  <w:vAlign w:val="center"/>
                </w:tcPr>
                <w:p w14:paraId="4D65635E">
                  <w:pPr>
                    <w:keepNext w:val="0"/>
                    <w:keepLines w:val="0"/>
                    <w:widowControl/>
                    <w:suppressLineNumbers w:val="0"/>
                    <w:spacing w:before="0" w:beforeAutospacing="0" w:after="0" w:afterAutospacing="0" w:line="240" w:lineRule="auto"/>
                    <w:ind w:left="0" w:right="0"/>
                    <w:jc w:val="center"/>
                    <w:textAlignment w:val="center"/>
                    <w:rPr>
                      <w:rFonts w:hint="eastAsia"/>
                      <w:color w:val="auto"/>
                      <w:szCs w:val="21"/>
                      <w:highlight w:val="none"/>
                    </w:rPr>
                  </w:pPr>
                  <w:r>
                    <w:rPr>
                      <w:rFonts w:hint="eastAsia"/>
                      <w:color w:val="auto"/>
                      <w:szCs w:val="21"/>
                      <w:highlight w:val="none"/>
                    </w:rPr>
                    <w:t>颗粒物</w:t>
                  </w:r>
                </w:p>
              </w:tc>
              <w:tc>
                <w:tcPr>
                  <w:tcW w:w="1583" w:type="dxa"/>
                  <w:noWrap w:val="0"/>
                  <w:vAlign w:val="center"/>
                </w:tcPr>
                <w:p w14:paraId="2018CA0E">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p>
              </w:tc>
              <w:tc>
                <w:tcPr>
                  <w:tcW w:w="1588" w:type="dxa"/>
                  <w:noWrap w:val="0"/>
                  <w:vAlign w:val="center"/>
                </w:tcPr>
                <w:p w14:paraId="6C46F3EE">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p>
              </w:tc>
              <w:tc>
                <w:tcPr>
                  <w:tcW w:w="1448" w:type="dxa"/>
                  <w:noWrap w:val="0"/>
                  <w:vAlign w:val="center"/>
                </w:tcPr>
                <w:p w14:paraId="4B01E771">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p>
              </w:tc>
            </w:tr>
            <w:tr w14:paraId="3D628C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14:paraId="1DF1F7BA">
                  <w:pPr>
                    <w:keepNext w:val="0"/>
                    <w:keepLines w:val="0"/>
                    <w:suppressLineNumbers w:val="0"/>
                    <w:spacing w:before="0" w:beforeAutospacing="0" w:after="0" w:afterAutospacing="0" w:line="240" w:lineRule="auto"/>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1400" w:type="dxa"/>
                  <w:noWrap w:val="0"/>
                  <w:vAlign w:val="center"/>
                </w:tcPr>
                <w:p w14:paraId="6D24B749">
                  <w:pPr>
                    <w:keepNext w:val="0"/>
                    <w:keepLines w:val="0"/>
                    <w:suppressLineNumbers w:val="0"/>
                    <w:spacing w:before="0" w:beforeAutospacing="0" w:after="0" w:afterAutospacing="0" w:line="240" w:lineRule="auto"/>
                    <w:ind w:left="0" w:right="0"/>
                    <w:jc w:val="center"/>
                    <w:rPr>
                      <w:rFonts w:hint="eastAsia" w:eastAsia="宋体"/>
                      <w:bCs/>
                      <w:color w:val="auto"/>
                      <w:szCs w:val="21"/>
                      <w:highlight w:val="none"/>
                      <w:lang w:eastAsia="zh-CN"/>
                    </w:rPr>
                  </w:pPr>
                  <w:r>
                    <w:rPr>
                      <w:rFonts w:hint="default"/>
                      <w:bCs/>
                      <w:color w:val="auto"/>
                      <w:szCs w:val="21"/>
                      <w:highlight w:val="none"/>
                    </w:rPr>
                    <w:t>DA0</w:t>
                  </w:r>
                  <w:r>
                    <w:rPr>
                      <w:rFonts w:hint="eastAsia"/>
                      <w:bCs/>
                      <w:color w:val="auto"/>
                      <w:szCs w:val="21"/>
                      <w:highlight w:val="none"/>
                    </w:rPr>
                    <w:t>0</w:t>
                  </w:r>
                  <w:r>
                    <w:rPr>
                      <w:rFonts w:hint="eastAsia"/>
                      <w:bCs/>
                      <w:color w:val="auto"/>
                      <w:szCs w:val="21"/>
                      <w:highlight w:val="none"/>
                      <w:lang w:val="en-US" w:eastAsia="zh-CN"/>
                    </w:rPr>
                    <w:t>5</w:t>
                  </w:r>
                </w:p>
              </w:tc>
              <w:tc>
                <w:tcPr>
                  <w:tcW w:w="1586" w:type="dxa"/>
                  <w:noWrap w:val="0"/>
                  <w:vAlign w:val="center"/>
                </w:tcPr>
                <w:p w14:paraId="100248D4">
                  <w:pPr>
                    <w:keepNext w:val="0"/>
                    <w:keepLines w:val="0"/>
                    <w:widowControl/>
                    <w:suppressLineNumbers w:val="0"/>
                    <w:spacing w:before="0" w:beforeAutospacing="0" w:after="0" w:afterAutospacing="0" w:line="240" w:lineRule="auto"/>
                    <w:ind w:left="0" w:right="0"/>
                    <w:jc w:val="center"/>
                    <w:textAlignment w:val="center"/>
                    <w:rPr>
                      <w:rFonts w:hint="eastAsia"/>
                      <w:color w:val="auto"/>
                      <w:szCs w:val="21"/>
                      <w:highlight w:val="none"/>
                    </w:rPr>
                  </w:pPr>
                  <w:r>
                    <w:rPr>
                      <w:rFonts w:hint="eastAsia"/>
                      <w:color w:val="auto"/>
                      <w:szCs w:val="21"/>
                      <w:highlight w:val="none"/>
                    </w:rPr>
                    <w:t>颗粒物</w:t>
                  </w:r>
                </w:p>
              </w:tc>
              <w:tc>
                <w:tcPr>
                  <w:tcW w:w="1583" w:type="dxa"/>
                  <w:noWrap w:val="0"/>
                  <w:vAlign w:val="center"/>
                </w:tcPr>
                <w:p w14:paraId="73053883">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p>
              </w:tc>
              <w:tc>
                <w:tcPr>
                  <w:tcW w:w="1588" w:type="dxa"/>
                  <w:noWrap w:val="0"/>
                  <w:vAlign w:val="center"/>
                </w:tcPr>
                <w:p w14:paraId="39ED7523">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p>
              </w:tc>
              <w:tc>
                <w:tcPr>
                  <w:tcW w:w="1448" w:type="dxa"/>
                  <w:noWrap w:val="0"/>
                  <w:vAlign w:val="center"/>
                </w:tcPr>
                <w:p w14:paraId="2C2593AA">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p>
              </w:tc>
            </w:tr>
            <w:tr w14:paraId="195C18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14:paraId="4A23E378">
                  <w:pPr>
                    <w:keepNext w:val="0"/>
                    <w:keepLines w:val="0"/>
                    <w:suppressLineNumbers w:val="0"/>
                    <w:spacing w:before="0" w:beforeAutospacing="0" w:after="0" w:afterAutospacing="0" w:line="240" w:lineRule="auto"/>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6</w:t>
                  </w:r>
                </w:p>
              </w:tc>
              <w:tc>
                <w:tcPr>
                  <w:tcW w:w="1400" w:type="dxa"/>
                  <w:noWrap w:val="0"/>
                  <w:vAlign w:val="center"/>
                </w:tcPr>
                <w:p w14:paraId="76898F9C">
                  <w:pPr>
                    <w:keepNext w:val="0"/>
                    <w:keepLines w:val="0"/>
                    <w:suppressLineNumbers w:val="0"/>
                    <w:spacing w:before="0" w:beforeAutospacing="0" w:after="0" w:afterAutospacing="0" w:line="240" w:lineRule="auto"/>
                    <w:ind w:left="0" w:right="0"/>
                    <w:jc w:val="center"/>
                    <w:rPr>
                      <w:rFonts w:hint="eastAsia" w:eastAsia="宋体"/>
                      <w:bCs/>
                      <w:color w:val="auto"/>
                      <w:szCs w:val="21"/>
                      <w:highlight w:val="none"/>
                      <w:lang w:eastAsia="zh-CN"/>
                    </w:rPr>
                  </w:pPr>
                  <w:r>
                    <w:rPr>
                      <w:rFonts w:hint="default"/>
                      <w:bCs/>
                      <w:color w:val="auto"/>
                      <w:szCs w:val="21"/>
                      <w:highlight w:val="none"/>
                    </w:rPr>
                    <w:t>DA0</w:t>
                  </w:r>
                  <w:r>
                    <w:rPr>
                      <w:rFonts w:hint="eastAsia"/>
                      <w:bCs/>
                      <w:color w:val="auto"/>
                      <w:szCs w:val="21"/>
                      <w:highlight w:val="none"/>
                    </w:rPr>
                    <w:t>0</w:t>
                  </w:r>
                  <w:r>
                    <w:rPr>
                      <w:rFonts w:hint="eastAsia"/>
                      <w:bCs/>
                      <w:color w:val="auto"/>
                      <w:szCs w:val="21"/>
                      <w:highlight w:val="none"/>
                      <w:lang w:val="en-US" w:eastAsia="zh-CN"/>
                    </w:rPr>
                    <w:t>6</w:t>
                  </w:r>
                </w:p>
              </w:tc>
              <w:tc>
                <w:tcPr>
                  <w:tcW w:w="1586" w:type="dxa"/>
                  <w:noWrap w:val="0"/>
                  <w:vAlign w:val="center"/>
                </w:tcPr>
                <w:p w14:paraId="308BA626">
                  <w:pPr>
                    <w:keepNext w:val="0"/>
                    <w:keepLines w:val="0"/>
                    <w:widowControl/>
                    <w:suppressLineNumbers w:val="0"/>
                    <w:spacing w:before="0" w:beforeAutospacing="0" w:after="0" w:afterAutospacing="0" w:line="240" w:lineRule="auto"/>
                    <w:ind w:left="0" w:right="0"/>
                    <w:jc w:val="center"/>
                    <w:textAlignment w:val="center"/>
                    <w:rPr>
                      <w:rFonts w:hint="eastAsia"/>
                      <w:color w:val="auto"/>
                      <w:szCs w:val="21"/>
                      <w:highlight w:val="none"/>
                    </w:rPr>
                  </w:pPr>
                  <w:r>
                    <w:rPr>
                      <w:rFonts w:hint="eastAsia"/>
                      <w:color w:val="auto"/>
                      <w:szCs w:val="21"/>
                      <w:highlight w:val="none"/>
                    </w:rPr>
                    <w:t>颗粒物</w:t>
                  </w:r>
                </w:p>
              </w:tc>
              <w:tc>
                <w:tcPr>
                  <w:tcW w:w="1583" w:type="dxa"/>
                  <w:noWrap w:val="0"/>
                  <w:vAlign w:val="center"/>
                </w:tcPr>
                <w:p w14:paraId="0D67A3B0">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p>
              </w:tc>
              <w:tc>
                <w:tcPr>
                  <w:tcW w:w="1588" w:type="dxa"/>
                  <w:noWrap w:val="0"/>
                  <w:vAlign w:val="center"/>
                </w:tcPr>
                <w:p w14:paraId="4E8D4578">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p>
              </w:tc>
              <w:tc>
                <w:tcPr>
                  <w:tcW w:w="1448" w:type="dxa"/>
                  <w:noWrap w:val="0"/>
                  <w:vAlign w:val="center"/>
                </w:tcPr>
                <w:p w14:paraId="29D32E61">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p>
              </w:tc>
            </w:tr>
            <w:bookmarkEnd w:id="18"/>
            <w:tr w14:paraId="31893D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14:paraId="79F5156D">
                  <w:pPr>
                    <w:keepNext w:val="0"/>
                    <w:keepLines w:val="0"/>
                    <w:suppressLineNumbers w:val="0"/>
                    <w:spacing w:before="0" w:beforeAutospacing="0" w:after="0" w:afterAutospacing="0" w:line="240" w:lineRule="auto"/>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7</w:t>
                  </w:r>
                </w:p>
              </w:tc>
              <w:tc>
                <w:tcPr>
                  <w:tcW w:w="1400" w:type="dxa"/>
                  <w:noWrap w:val="0"/>
                  <w:vAlign w:val="center"/>
                </w:tcPr>
                <w:p w14:paraId="205DF406">
                  <w:pPr>
                    <w:keepNext w:val="0"/>
                    <w:keepLines w:val="0"/>
                    <w:suppressLineNumbers w:val="0"/>
                    <w:spacing w:before="0" w:beforeAutospacing="0" w:after="0" w:afterAutospacing="0" w:line="240" w:lineRule="auto"/>
                    <w:ind w:left="0" w:right="0"/>
                    <w:jc w:val="center"/>
                    <w:rPr>
                      <w:rFonts w:hint="eastAsia" w:eastAsia="宋体"/>
                      <w:bCs/>
                      <w:color w:val="auto"/>
                      <w:szCs w:val="21"/>
                      <w:highlight w:val="none"/>
                      <w:lang w:eastAsia="zh-CN"/>
                    </w:rPr>
                  </w:pPr>
                  <w:bookmarkStart w:id="22" w:name="OLE_LINK11"/>
                  <w:r>
                    <w:rPr>
                      <w:rFonts w:hint="default"/>
                      <w:bCs/>
                      <w:color w:val="auto"/>
                      <w:szCs w:val="21"/>
                      <w:highlight w:val="none"/>
                    </w:rPr>
                    <w:t>DA0</w:t>
                  </w:r>
                  <w:r>
                    <w:rPr>
                      <w:rFonts w:hint="eastAsia"/>
                      <w:bCs/>
                      <w:color w:val="auto"/>
                      <w:szCs w:val="21"/>
                      <w:highlight w:val="none"/>
                    </w:rPr>
                    <w:t>0</w:t>
                  </w:r>
                  <w:bookmarkEnd w:id="22"/>
                  <w:r>
                    <w:rPr>
                      <w:rFonts w:hint="eastAsia"/>
                      <w:bCs/>
                      <w:color w:val="auto"/>
                      <w:szCs w:val="21"/>
                      <w:highlight w:val="none"/>
                      <w:lang w:val="en-US" w:eastAsia="zh-CN"/>
                    </w:rPr>
                    <w:t>7</w:t>
                  </w:r>
                </w:p>
              </w:tc>
              <w:tc>
                <w:tcPr>
                  <w:tcW w:w="1586" w:type="dxa"/>
                  <w:noWrap w:val="0"/>
                  <w:vAlign w:val="center"/>
                </w:tcPr>
                <w:p w14:paraId="252DA2B1">
                  <w:pPr>
                    <w:keepNext w:val="0"/>
                    <w:keepLines w:val="0"/>
                    <w:widowControl/>
                    <w:suppressLineNumbers w:val="0"/>
                    <w:spacing w:before="0" w:beforeAutospacing="0" w:after="0" w:afterAutospacing="0" w:line="240" w:lineRule="auto"/>
                    <w:ind w:left="0" w:right="0"/>
                    <w:jc w:val="center"/>
                    <w:textAlignment w:val="center"/>
                    <w:rPr>
                      <w:rFonts w:hint="default"/>
                      <w:color w:val="auto"/>
                      <w:szCs w:val="21"/>
                      <w:highlight w:val="none"/>
                    </w:rPr>
                  </w:pPr>
                  <w:bookmarkStart w:id="23" w:name="OLE_LINK12"/>
                  <w:r>
                    <w:rPr>
                      <w:rFonts w:hint="eastAsia"/>
                      <w:color w:val="auto"/>
                      <w:szCs w:val="21"/>
                      <w:highlight w:val="none"/>
                    </w:rPr>
                    <w:t>颗粒物</w:t>
                  </w:r>
                  <w:bookmarkEnd w:id="23"/>
                </w:p>
              </w:tc>
              <w:tc>
                <w:tcPr>
                  <w:tcW w:w="1583" w:type="dxa"/>
                  <w:noWrap w:val="0"/>
                  <w:vAlign w:val="center"/>
                </w:tcPr>
                <w:p w14:paraId="795DF718">
                  <w:pPr>
                    <w:keepNext w:val="0"/>
                    <w:keepLines w:val="0"/>
                    <w:widowControl/>
                    <w:suppressLineNumbers w:val="0"/>
                    <w:spacing w:before="0" w:beforeAutospacing="0" w:after="0" w:afterAutospacing="0" w:line="240" w:lineRule="auto"/>
                    <w:ind w:left="-42" w:leftChars="-20" w:right="-42" w:rightChars="-2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1588" w:type="dxa"/>
                  <w:noWrap w:val="0"/>
                  <w:vAlign w:val="center"/>
                </w:tcPr>
                <w:p w14:paraId="04366ACD">
                  <w:pPr>
                    <w:keepNext w:val="0"/>
                    <w:keepLines w:val="0"/>
                    <w:suppressLineNumbers w:val="0"/>
                    <w:spacing w:before="0" w:beforeAutospacing="0" w:after="0" w:afterAutospacing="0" w:line="240" w:lineRule="auto"/>
                    <w:ind w:left="-42" w:leftChars="-20" w:right="-42" w:rightChars="-20"/>
                    <w:jc w:val="center"/>
                    <w:rPr>
                      <w:rFonts w:hint="default" w:ascii="Times New Roman" w:hAnsi="Times New Roman" w:eastAsia="宋体" w:cs="Times New Roman"/>
                      <w:color w:val="auto"/>
                      <w:kern w:val="0"/>
                      <w:sz w:val="21"/>
                      <w:szCs w:val="21"/>
                      <w:highlight w:val="none"/>
                      <w:lang w:val="en-US" w:eastAsia="zh-CN" w:bidi="ar-SA"/>
                    </w:rPr>
                  </w:pPr>
                </w:p>
              </w:tc>
              <w:tc>
                <w:tcPr>
                  <w:tcW w:w="1448" w:type="dxa"/>
                  <w:noWrap w:val="0"/>
                  <w:vAlign w:val="center"/>
                </w:tcPr>
                <w:p w14:paraId="51B5895B">
                  <w:pPr>
                    <w:keepNext w:val="0"/>
                    <w:keepLines w:val="0"/>
                    <w:suppressLineNumbers w:val="0"/>
                    <w:spacing w:before="0" w:beforeAutospacing="0" w:after="0" w:afterAutospacing="0" w:line="240" w:lineRule="auto"/>
                    <w:ind w:left="-42" w:leftChars="-20" w:right="-42" w:rightChars="-20"/>
                    <w:jc w:val="center"/>
                    <w:rPr>
                      <w:rFonts w:hint="default" w:ascii="Times New Roman" w:hAnsi="Times New Roman" w:eastAsia="宋体" w:cs="Times New Roman"/>
                      <w:color w:val="auto"/>
                      <w:kern w:val="0"/>
                      <w:sz w:val="21"/>
                      <w:szCs w:val="21"/>
                      <w:highlight w:val="none"/>
                      <w:lang w:val="en-US" w:eastAsia="zh-CN" w:bidi="ar-SA"/>
                    </w:rPr>
                  </w:pPr>
                </w:p>
              </w:tc>
            </w:tr>
            <w:tr w14:paraId="3B0B3D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14:paraId="017B4E0B">
                  <w:pPr>
                    <w:keepNext w:val="0"/>
                    <w:keepLines w:val="0"/>
                    <w:suppressLineNumbers w:val="0"/>
                    <w:spacing w:before="0" w:beforeAutospacing="0" w:after="0" w:afterAutospacing="0" w:line="240" w:lineRule="auto"/>
                    <w:ind w:left="0" w:right="0"/>
                    <w:jc w:val="center"/>
                    <w:rPr>
                      <w:rFonts w:hint="default"/>
                      <w:color w:val="auto"/>
                      <w:szCs w:val="21"/>
                      <w:highlight w:val="none"/>
                      <w:lang w:val="en-US" w:eastAsia="zh-CN"/>
                    </w:rPr>
                  </w:pPr>
                  <w:r>
                    <w:rPr>
                      <w:rFonts w:hint="eastAsia"/>
                      <w:color w:val="auto"/>
                      <w:szCs w:val="21"/>
                      <w:highlight w:val="none"/>
                      <w:lang w:val="en-US" w:eastAsia="zh-CN"/>
                    </w:rPr>
                    <w:t>8</w:t>
                  </w:r>
                </w:p>
              </w:tc>
              <w:tc>
                <w:tcPr>
                  <w:tcW w:w="1400" w:type="dxa"/>
                  <w:noWrap w:val="0"/>
                  <w:vAlign w:val="center"/>
                </w:tcPr>
                <w:p w14:paraId="3BFA6941">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Cs/>
                      <w:color w:val="auto"/>
                      <w:kern w:val="2"/>
                      <w:sz w:val="21"/>
                      <w:szCs w:val="21"/>
                      <w:highlight w:val="none"/>
                      <w:lang w:val="en-US" w:eastAsia="zh-CN" w:bidi="ar-SA"/>
                    </w:rPr>
                  </w:pPr>
                  <w:r>
                    <w:rPr>
                      <w:rFonts w:hint="default"/>
                      <w:bCs/>
                      <w:color w:val="auto"/>
                      <w:szCs w:val="21"/>
                      <w:highlight w:val="none"/>
                    </w:rPr>
                    <w:t>DA0</w:t>
                  </w:r>
                  <w:r>
                    <w:rPr>
                      <w:rFonts w:hint="eastAsia"/>
                      <w:bCs/>
                      <w:color w:val="auto"/>
                      <w:szCs w:val="21"/>
                      <w:highlight w:val="none"/>
                    </w:rPr>
                    <w:t>0</w:t>
                  </w:r>
                  <w:r>
                    <w:rPr>
                      <w:rFonts w:hint="eastAsia"/>
                      <w:bCs/>
                      <w:color w:val="auto"/>
                      <w:szCs w:val="21"/>
                      <w:highlight w:val="none"/>
                      <w:lang w:val="en-US" w:eastAsia="zh-CN"/>
                    </w:rPr>
                    <w:t>8</w:t>
                  </w:r>
                </w:p>
              </w:tc>
              <w:tc>
                <w:tcPr>
                  <w:tcW w:w="1586" w:type="dxa"/>
                  <w:noWrap w:val="0"/>
                  <w:vAlign w:val="center"/>
                </w:tcPr>
                <w:p w14:paraId="6E64F0B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颗粒物</w:t>
                  </w:r>
                </w:p>
              </w:tc>
              <w:tc>
                <w:tcPr>
                  <w:tcW w:w="1583" w:type="dxa"/>
                  <w:noWrap w:val="0"/>
                  <w:vAlign w:val="center"/>
                </w:tcPr>
                <w:p w14:paraId="56AB8DC6">
                  <w:pPr>
                    <w:keepNext w:val="0"/>
                    <w:keepLines w:val="0"/>
                    <w:widowControl/>
                    <w:suppressLineNumbers w:val="0"/>
                    <w:spacing w:before="0" w:beforeAutospacing="0" w:after="0" w:afterAutospacing="0" w:line="240" w:lineRule="auto"/>
                    <w:ind w:left="-42" w:leftChars="-20" w:right="-42" w:rightChars="-2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1588" w:type="dxa"/>
                  <w:noWrap w:val="0"/>
                  <w:vAlign w:val="center"/>
                </w:tcPr>
                <w:p w14:paraId="3D45C6E2">
                  <w:pPr>
                    <w:keepNext w:val="0"/>
                    <w:keepLines w:val="0"/>
                    <w:suppressLineNumbers w:val="0"/>
                    <w:spacing w:before="0" w:beforeAutospacing="0" w:after="0" w:afterAutospacing="0" w:line="240" w:lineRule="auto"/>
                    <w:ind w:left="-42" w:leftChars="-20" w:right="-42" w:rightChars="-20"/>
                    <w:jc w:val="center"/>
                    <w:rPr>
                      <w:rFonts w:hint="default" w:ascii="Times New Roman" w:hAnsi="Times New Roman" w:eastAsia="宋体" w:cs="Times New Roman"/>
                      <w:color w:val="auto"/>
                      <w:kern w:val="0"/>
                      <w:sz w:val="21"/>
                      <w:szCs w:val="21"/>
                      <w:highlight w:val="none"/>
                      <w:lang w:val="en-US" w:eastAsia="zh-CN" w:bidi="ar-SA"/>
                    </w:rPr>
                  </w:pPr>
                </w:p>
              </w:tc>
              <w:tc>
                <w:tcPr>
                  <w:tcW w:w="1448" w:type="dxa"/>
                  <w:noWrap w:val="0"/>
                  <w:vAlign w:val="center"/>
                </w:tcPr>
                <w:p w14:paraId="5FCB32EF">
                  <w:pPr>
                    <w:keepNext w:val="0"/>
                    <w:keepLines w:val="0"/>
                    <w:suppressLineNumbers w:val="0"/>
                    <w:spacing w:before="0" w:beforeAutospacing="0" w:after="0" w:afterAutospacing="0" w:line="240" w:lineRule="auto"/>
                    <w:ind w:left="-42" w:leftChars="-20" w:right="-42" w:rightChars="-20"/>
                    <w:jc w:val="center"/>
                    <w:rPr>
                      <w:rFonts w:hint="default" w:ascii="Times New Roman" w:hAnsi="Times New Roman" w:eastAsia="宋体" w:cs="Times New Roman"/>
                      <w:color w:val="auto"/>
                      <w:kern w:val="0"/>
                      <w:sz w:val="21"/>
                      <w:szCs w:val="21"/>
                      <w:highlight w:val="none"/>
                      <w:lang w:val="en-US" w:eastAsia="zh-CN" w:bidi="ar-SA"/>
                    </w:rPr>
                  </w:pPr>
                </w:p>
              </w:tc>
            </w:tr>
            <w:bookmarkEnd w:id="19"/>
            <w:bookmarkEnd w:id="21"/>
            <w:tr w14:paraId="154DA8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71" w:type="dxa"/>
                  <w:gridSpan w:val="2"/>
                  <w:noWrap w:val="0"/>
                  <w:vAlign w:val="center"/>
                </w:tcPr>
                <w:p w14:paraId="27CF67C6">
                  <w:pPr>
                    <w:keepNext w:val="0"/>
                    <w:keepLines w:val="0"/>
                    <w:suppressLineNumbers w:val="0"/>
                    <w:spacing w:before="0" w:beforeAutospacing="0" w:after="0" w:afterAutospacing="0" w:line="240" w:lineRule="auto"/>
                    <w:ind w:left="0" w:right="0"/>
                    <w:jc w:val="center"/>
                    <w:rPr>
                      <w:rFonts w:hint="default"/>
                      <w:color w:val="auto"/>
                      <w:szCs w:val="21"/>
                      <w:highlight w:val="none"/>
                    </w:rPr>
                  </w:pPr>
                  <w:r>
                    <w:rPr>
                      <w:rFonts w:hint="default"/>
                      <w:color w:val="auto"/>
                      <w:szCs w:val="21"/>
                      <w:highlight w:val="none"/>
                    </w:rPr>
                    <w:t>有组织排放总计</w:t>
                  </w:r>
                </w:p>
              </w:tc>
              <w:tc>
                <w:tcPr>
                  <w:tcW w:w="4757" w:type="dxa"/>
                  <w:gridSpan w:val="3"/>
                  <w:noWrap w:val="0"/>
                  <w:vAlign w:val="center"/>
                </w:tcPr>
                <w:p w14:paraId="75A2F7A2">
                  <w:pPr>
                    <w:keepNext w:val="0"/>
                    <w:keepLines w:val="0"/>
                    <w:widowControl/>
                    <w:suppressLineNumbers w:val="0"/>
                    <w:spacing w:before="0" w:beforeAutospacing="0" w:after="0" w:afterAutospacing="0" w:line="240" w:lineRule="auto"/>
                    <w:ind w:left="0" w:right="0"/>
                    <w:jc w:val="center"/>
                    <w:textAlignment w:val="center"/>
                    <w:rPr>
                      <w:rFonts w:hint="eastAsia" w:eastAsia="宋体"/>
                      <w:color w:val="auto"/>
                      <w:szCs w:val="21"/>
                      <w:highlight w:val="none"/>
                      <w:lang w:eastAsia="zh-CN"/>
                    </w:rPr>
                  </w:pPr>
                  <w:r>
                    <w:rPr>
                      <w:rFonts w:hint="eastAsia"/>
                      <w:color w:val="auto"/>
                      <w:szCs w:val="21"/>
                      <w:highlight w:val="none"/>
                      <w:lang w:val="en-US" w:eastAsia="zh-CN"/>
                    </w:rPr>
                    <w:t>颗粒物</w:t>
                  </w:r>
                </w:p>
              </w:tc>
              <w:tc>
                <w:tcPr>
                  <w:tcW w:w="1448" w:type="dxa"/>
                  <w:noWrap w:val="0"/>
                  <w:vAlign w:val="center"/>
                </w:tcPr>
                <w:p w14:paraId="56DF8A0C">
                  <w:pPr>
                    <w:keepNext w:val="0"/>
                    <w:keepLines w:val="0"/>
                    <w:widowControl/>
                    <w:suppressLineNumbers w:val="0"/>
                    <w:spacing w:before="0" w:beforeAutospacing="0" w:after="0" w:afterAutospacing="0" w:line="240" w:lineRule="auto"/>
                    <w:ind w:left="0" w:right="0"/>
                    <w:jc w:val="center"/>
                    <w:textAlignment w:val="center"/>
                    <w:rPr>
                      <w:rFonts w:hint="default" w:eastAsia="宋体"/>
                      <w:color w:val="auto"/>
                      <w:kern w:val="0"/>
                      <w:szCs w:val="21"/>
                      <w:highlight w:val="none"/>
                      <w:lang w:val="en-US" w:eastAsia="zh-CN" w:bidi="ar"/>
                    </w:rPr>
                  </w:pPr>
                </w:p>
              </w:tc>
            </w:tr>
          </w:tbl>
          <w:p w14:paraId="1D380ADD">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lang w:val="zh-CN"/>
              </w:rPr>
            </w:pPr>
          </w:p>
          <w:p w14:paraId="22591575">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lang w:val="zh-CN"/>
              </w:rPr>
            </w:pPr>
          </w:p>
          <w:p w14:paraId="0FE6DE48">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rPr>
            </w:pPr>
            <w:r>
              <w:rPr>
                <w:rFonts w:hint="default"/>
                <w:b/>
                <w:bCs/>
                <w:color w:val="auto"/>
                <w:sz w:val="21"/>
                <w:szCs w:val="21"/>
                <w:highlight w:val="none"/>
                <w:lang w:val="zh-CN"/>
              </w:rPr>
              <w:t>表</w:t>
            </w:r>
            <w:r>
              <w:rPr>
                <w:rFonts w:hint="eastAsia"/>
                <w:b/>
                <w:bCs/>
                <w:color w:val="auto"/>
                <w:sz w:val="21"/>
                <w:szCs w:val="21"/>
                <w:highlight w:val="none"/>
              </w:rPr>
              <w:t>4</w:t>
            </w:r>
            <w:r>
              <w:rPr>
                <w:rFonts w:hint="default"/>
                <w:b/>
                <w:bCs/>
                <w:color w:val="auto"/>
                <w:sz w:val="21"/>
                <w:szCs w:val="21"/>
                <w:highlight w:val="none"/>
              </w:rPr>
              <w:t>-</w:t>
            </w:r>
            <w:r>
              <w:rPr>
                <w:rFonts w:hint="eastAsia"/>
                <w:b/>
                <w:bCs/>
                <w:color w:val="auto"/>
                <w:sz w:val="21"/>
                <w:szCs w:val="21"/>
                <w:highlight w:val="none"/>
              </w:rPr>
              <w:t>1</w:t>
            </w:r>
            <w:r>
              <w:rPr>
                <w:rFonts w:hint="eastAsia"/>
                <w:b/>
                <w:bCs/>
                <w:color w:val="auto"/>
                <w:sz w:val="21"/>
                <w:szCs w:val="21"/>
                <w:highlight w:val="none"/>
                <w:lang w:val="en-US" w:eastAsia="zh-CN"/>
              </w:rPr>
              <w:t>0</w:t>
            </w:r>
            <w:r>
              <w:rPr>
                <w:rFonts w:hint="eastAsia"/>
                <w:b/>
                <w:bCs/>
                <w:color w:val="auto"/>
                <w:sz w:val="21"/>
                <w:szCs w:val="21"/>
                <w:highlight w:val="none"/>
              </w:rPr>
              <w:t xml:space="preserve">  </w:t>
            </w:r>
            <w:r>
              <w:rPr>
                <w:rFonts w:hint="default"/>
                <w:b/>
                <w:bCs/>
                <w:color w:val="auto"/>
                <w:sz w:val="21"/>
                <w:szCs w:val="21"/>
                <w:highlight w:val="none"/>
              </w:rPr>
              <w:t>废气无组织排放量核算表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3"/>
              <w:gridCol w:w="762"/>
              <w:gridCol w:w="722"/>
              <w:gridCol w:w="849"/>
              <w:gridCol w:w="1949"/>
              <w:gridCol w:w="1076"/>
              <w:gridCol w:w="1619"/>
              <w:gridCol w:w="876"/>
            </w:tblGrid>
            <w:tr w14:paraId="6D9847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23" w:type="dxa"/>
                  <w:vMerge w:val="restart"/>
                  <w:noWrap w:val="0"/>
                  <w:vAlign w:val="center"/>
                </w:tcPr>
                <w:p w14:paraId="6320DF94">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序号</w:t>
                  </w:r>
                </w:p>
              </w:tc>
              <w:tc>
                <w:tcPr>
                  <w:tcW w:w="762" w:type="dxa"/>
                  <w:vMerge w:val="restart"/>
                  <w:noWrap w:val="0"/>
                  <w:vAlign w:val="center"/>
                </w:tcPr>
                <w:p w14:paraId="7EB11822">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产污环节</w:t>
                  </w:r>
                </w:p>
              </w:tc>
              <w:tc>
                <w:tcPr>
                  <w:tcW w:w="722" w:type="dxa"/>
                  <w:vMerge w:val="restart"/>
                  <w:noWrap w:val="0"/>
                  <w:vAlign w:val="center"/>
                </w:tcPr>
                <w:p w14:paraId="5320C6CB">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污染物</w:t>
                  </w:r>
                </w:p>
              </w:tc>
              <w:tc>
                <w:tcPr>
                  <w:tcW w:w="849" w:type="dxa"/>
                  <w:vMerge w:val="restart"/>
                  <w:noWrap w:val="0"/>
                  <w:vAlign w:val="center"/>
                </w:tcPr>
                <w:p w14:paraId="00897183">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主要污染防治措施</w:t>
                  </w:r>
                </w:p>
              </w:tc>
              <w:tc>
                <w:tcPr>
                  <w:tcW w:w="4644" w:type="dxa"/>
                  <w:gridSpan w:val="3"/>
                  <w:noWrap w:val="0"/>
                  <w:vAlign w:val="center"/>
                </w:tcPr>
                <w:p w14:paraId="4D95BEA1">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国家或地方污染物排放标准</w:t>
                  </w:r>
                </w:p>
              </w:tc>
              <w:tc>
                <w:tcPr>
                  <w:tcW w:w="876" w:type="dxa"/>
                  <w:vMerge w:val="restart"/>
                  <w:noWrap w:val="0"/>
                  <w:vAlign w:val="center"/>
                </w:tcPr>
                <w:p w14:paraId="796B2250">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核算年排放量t/a</w:t>
                  </w:r>
                </w:p>
              </w:tc>
            </w:tr>
            <w:tr w14:paraId="49715D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23" w:type="dxa"/>
                  <w:vMerge w:val="continue"/>
                  <w:noWrap w:val="0"/>
                  <w:vAlign w:val="center"/>
                </w:tcPr>
                <w:p w14:paraId="6D1529B2">
                  <w:pPr>
                    <w:keepNext w:val="0"/>
                    <w:keepLines w:val="0"/>
                    <w:suppressLineNumbers w:val="0"/>
                    <w:spacing w:before="0" w:beforeAutospacing="0" w:after="0" w:afterAutospacing="0" w:line="240" w:lineRule="auto"/>
                    <w:ind w:left="0" w:right="0"/>
                    <w:jc w:val="center"/>
                    <w:rPr>
                      <w:rFonts w:hint="default"/>
                      <w:color w:val="auto"/>
                      <w:szCs w:val="21"/>
                      <w:highlight w:val="none"/>
                    </w:rPr>
                  </w:pPr>
                </w:p>
              </w:tc>
              <w:tc>
                <w:tcPr>
                  <w:tcW w:w="762" w:type="dxa"/>
                  <w:vMerge w:val="continue"/>
                  <w:noWrap w:val="0"/>
                  <w:vAlign w:val="center"/>
                </w:tcPr>
                <w:p w14:paraId="61B50BE9">
                  <w:pPr>
                    <w:keepNext w:val="0"/>
                    <w:keepLines w:val="0"/>
                    <w:suppressLineNumbers w:val="0"/>
                    <w:spacing w:before="0" w:beforeAutospacing="0" w:after="0" w:afterAutospacing="0" w:line="240" w:lineRule="auto"/>
                    <w:ind w:left="0" w:right="0"/>
                    <w:jc w:val="center"/>
                    <w:rPr>
                      <w:rFonts w:hint="default"/>
                      <w:color w:val="auto"/>
                      <w:szCs w:val="21"/>
                      <w:highlight w:val="none"/>
                    </w:rPr>
                  </w:pPr>
                </w:p>
              </w:tc>
              <w:tc>
                <w:tcPr>
                  <w:tcW w:w="722" w:type="dxa"/>
                  <w:vMerge w:val="continue"/>
                  <w:noWrap w:val="0"/>
                  <w:vAlign w:val="center"/>
                </w:tcPr>
                <w:p w14:paraId="7FF2304C">
                  <w:pPr>
                    <w:keepNext w:val="0"/>
                    <w:keepLines w:val="0"/>
                    <w:suppressLineNumbers w:val="0"/>
                    <w:spacing w:before="0" w:beforeAutospacing="0" w:after="0" w:afterAutospacing="0" w:line="240" w:lineRule="auto"/>
                    <w:ind w:left="0" w:right="0"/>
                    <w:jc w:val="center"/>
                    <w:rPr>
                      <w:rFonts w:hint="default"/>
                      <w:color w:val="auto"/>
                      <w:szCs w:val="21"/>
                      <w:highlight w:val="none"/>
                    </w:rPr>
                  </w:pPr>
                </w:p>
              </w:tc>
              <w:tc>
                <w:tcPr>
                  <w:tcW w:w="849" w:type="dxa"/>
                  <w:vMerge w:val="continue"/>
                  <w:noWrap w:val="0"/>
                  <w:vAlign w:val="center"/>
                </w:tcPr>
                <w:p w14:paraId="43340617">
                  <w:pPr>
                    <w:keepNext w:val="0"/>
                    <w:keepLines w:val="0"/>
                    <w:suppressLineNumbers w:val="0"/>
                    <w:spacing w:before="0" w:beforeAutospacing="0" w:after="0" w:afterAutospacing="0" w:line="240" w:lineRule="auto"/>
                    <w:ind w:left="0" w:right="0"/>
                    <w:jc w:val="center"/>
                    <w:rPr>
                      <w:rFonts w:hint="default"/>
                      <w:color w:val="auto"/>
                      <w:szCs w:val="21"/>
                      <w:highlight w:val="none"/>
                    </w:rPr>
                  </w:pPr>
                </w:p>
              </w:tc>
              <w:tc>
                <w:tcPr>
                  <w:tcW w:w="1949" w:type="dxa"/>
                  <w:noWrap w:val="0"/>
                  <w:vAlign w:val="center"/>
                </w:tcPr>
                <w:p w14:paraId="342C81E5">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标准名称</w:t>
                  </w:r>
                </w:p>
              </w:tc>
              <w:tc>
                <w:tcPr>
                  <w:tcW w:w="1076" w:type="dxa"/>
                  <w:noWrap w:val="0"/>
                  <w:vAlign w:val="center"/>
                </w:tcPr>
                <w:p w14:paraId="330A1377">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企业边界浓度限值mg/m</w:t>
                  </w:r>
                  <w:r>
                    <w:rPr>
                      <w:rFonts w:hint="default"/>
                      <w:b/>
                      <w:bCs/>
                      <w:color w:val="auto"/>
                      <w:szCs w:val="21"/>
                      <w:highlight w:val="none"/>
                      <w:vertAlign w:val="superscript"/>
                    </w:rPr>
                    <w:t>3</w:t>
                  </w:r>
                </w:p>
              </w:tc>
              <w:tc>
                <w:tcPr>
                  <w:tcW w:w="1619" w:type="dxa"/>
                  <w:noWrap w:val="0"/>
                  <w:vAlign w:val="center"/>
                </w:tcPr>
                <w:p w14:paraId="32D34DD6">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厂区内监控点浓度限值mg/m</w:t>
                  </w:r>
                  <w:r>
                    <w:rPr>
                      <w:rFonts w:hint="default"/>
                      <w:b/>
                      <w:bCs/>
                      <w:color w:val="auto"/>
                      <w:szCs w:val="21"/>
                      <w:highlight w:val="none"/>
                      <w:vertAlign w:val="superscript"/>
                    </w:rPr>
                    <w:t>3</w:t>
                  </w:r>
                </w:p>
              </w:tc>
              <w:tc>
                <w:tcPr>
                  <w:tcW w:w="876" w:type="dxa"/>
                  <w:vMerge w:val="continue"/>
                  <w:noWrap w:val="0"/>
                  <w:vAlign w:val="center"/>
                </w:tcPr>
                <w:p w14:paraId="340DFB32">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p>
              </w:tc>
            </w:tr>
            <w:tr w14:paraId="659C24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23" w:type="dxa"/>
                  <w:noWrap w:val="0"/>
                  <w:vAlign w:val="center"/>
                </w:tcPr>
                <w:p w14:paraId="05736F93">
                  <w:pPr>
                    <w:keepNext w:val="0"/>
                    <w:keepLines w:val="0"/>
                    <w:suppressLineNumbers w:val="0"/>
                    <w:spacing w:before="0" w:beforeAutospacing="0" w:after="0" w:afterAutospacing="0" w:line="240" w:lineRule="auto"/>
                    <w:ind w:left="0" w:right="0"/>
                    <w:jc w:val="center"/>
                    <w:rPr>
                      <w:rFonts w:hint="default"/>
                      <w:color w:val="auto"/>
                      <w:szCs w:val="21"/>
                      <w:highlight w:val="none"/>
                    </w:rPr>
                  </w:pPr>
                  <w:r>
                    <w:rPr>
                      <w:rFonts w:hint="default"/>
                      <w:color w:val="auto"/>
                      <w:szCs w:val="21"/>
                      <w:highlight w:val="none"/>
                    </w:rPr>
                    <w:t>1</w:t>
                  </w:r>
                </w:p>
              </w:tc>
              <w:tc>
                <w:tcPr>
                  <w:tcW w:w="762" w:type="dxa"/>
                  <w:noWrap w:val="0"/>
                  <w:vAlign w:val="center"/>
                </w:tcPr>
                <w:p w14:paraId="2C580EEB">
                  <w:pPr>
                    <w:keepNext w:val="0"/>
                    <w:keepLines w:val="0"/>
                    <w:suppressLineNumbers w:val="0"/>
                    <w:spacing w:before="0" w:beforeAutospacing="0" w:after="0" w:afterAutospacing="0" w:line="240" w:lineRule="auto"/>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木浆粉碎、芯体成型</w:t>
                  </w:r>
                </w:p>
              </w:tc>
              <w:tc>
                <w:tcPr>
                  <w:tcW w:w="722" w:type="dxa"/>
                  <w:noWrap w:val="0"/>
                  <w:vAlign w:val="center"/>
                </w:tcPr>
                <w:p w14:paraId="57A2DBB0">
                  <w:pPr>
                    <w:keepNext w:val="0"/>
                    <w:keepLines w:val="0"/>
                    <w:suppressLineNumbers w:val="0"/>
                    <w:spacing w:before="0" w:beforeAutospacing="0" w:after="0" w:afterAutospacing="0" w:line="240" w:lineRule="auto"/>
                    <w:ind w:left="0" w:right="0"/>
                    <w:jc w:val="center"/>
                    <w:rPr>
                      <w:rFonts w:hint="eastAsia" w:eastAsia="宋体"/>
                      <w:color w:val="auto"/>
                      <w:szCs w:val="21"/>
                      <w:highlight w:val="none"/>
                      <w:lang w:eastAsia="zh-CN"/>
                    </w:rPr>
                  </w:pPr>
                  <w:r>
                    <w:rPr>
                      <w:rFonts w:hint="eastAsia"/>
                      <w:color w:val="auto"/>
                      <w:szCs w:val="21"/>
                      <w:highlight w:val="none"/>
                      <w:lang w:val="en-US" w:eastAsia="zh-CN"/>
                    </w:rPr>
                    <w:t>颗粒物</w:t>
                  </w:r>
                </w:p>
              </w:tc>
              <w:tc>
                <w:tcPr>
                  <w:tcW w:w="849" w:type="dxa"/>
                  <w:noWrap w:val="0"/>
                  <w:vAlign w:val="center"/>
                </w:tcPr>
                <w:p w14:paraId="5FABAB05">
                  <w:pPr>
                    <w:keepNext w:val="0"/>
                    <w:keepLines w:val="0"/>
                    <w:suppressLineNumbers w:val="0"/>
                    <w:spacing w:before="0" w:beforeAutospacing="0" w:after="0" w:afterAutospacing="0" w:line="240" w:lineRule="auto"/>
                    <w:ind w:left="0" w:right="0"/>
                    <w:jc w:val="center"/>
                    <w:rPr>
                      <w:rFonts w:hint="default"/>
                      <w:color w:val="auto"/>
                      <w:szCs w:val="21"/>
                      <w:highlight w:val="none"/>
                    </w:rPr>
                  </w:pPr>
                  <w:r>
                    <w:rPr>
                      <w:rFonts w:hint="eastAsia"/>
                      <w:bCs/>
                      <w:color w:val="auto"/>
                      <w:szCs w:val="21"/>
                      <w:highlight w:val="none"/>
                    </w:rPr>
                    <w:t>/</w:t>
                  </w:r>
                </w:p>
              </w:tc>
              <w:tc>
                <w:tcPr>
                  <w:tcW w:w="1949" w:type="dxa"/>
                  <w:noWrap w:val="0"/>
                  <w:vAlign w:val="center"/>
                </w:tcPr>
                <w:p w14:paraId="5484569F">
                  <w:pPr>
                    <w:keepNext w:val="0"/>
                    <w:keepLines w:val="0"/>
                    <w:suppressLineNumbers w:val="0"/>
                    <w:spacing w:before="0" w:beforeAutospacing="0" w:after="0" w:afterAutospacing="0" w:line="240" w:lineRule="auto"/>
                    <w:ind w:left="0" w:right="0"/>
                    <w:jc w:val="center"/>
                    <w:rPr>
                      <w:rFonts w:hint="default"/>
                      <w:color w:val="auto"/>
                      <w:szCs w:val="21"/>
                      <w:highlight w:val="none"/>
                    </w:rPr>
                  </w:pPr>
                  <w:r>
                    <w:rPr>
                      <w:rFonts w:hint="eastAsia" w:ascii="Times New Roman" w:hAnsi="Times New Roman" w:eastAsia="宋体" w:cs="宋体"/>
                      <w:color w:val="000000"/>
                      <w:sz w:val="21"/>
                      <w:szCs w:val="21"/>
                      <w:lang w:val="en-US" w:eastAsia="zh-CN"/>
                    </w:rPr>
                    <w:t>《大气污染物综合排放标准》（GB16297-1996）</w:t>
                  </w:r>
                  <w:r>
                    <w:rPr>
                      <w:rFonts w:hint="default"/>
                      <w:color w:val="auto"/>
                      <w:szCs w:val="21"/>
                      <w:highlight w:val="none"/>
                    </w:rPr>
                    <w:t>相关标准</w:t>
                  </w:r>
                </w:p>
              </w:tc>
              <w:tc>
                <w:tcPr>
                  <w:tcW w:w="1076" w:type="dxa"/>
                  <w:noWrap w:val="0"/>
                  <w:vAlign w:val="center"/>
                </w:tcPr>
                <w:p w14:paraId="45630758">
                  <w:pPr>
                    <w:keepNext w:val="0"/>
                    <w:keepLines w:val="0"/>
                    <w:suppressLineNumbers w:val="0"/>
                    <w:spacing w:before="0" w:beforeAutospacing="0" w:after="0" w:afterAutospacing="0" w:line="240" w:lineRule="auto"/>
                    <w:ind w:left="0" w:right="0"/>
                    <w:jc w:val="center"/>
                    <w:rPr>
                      <w:rFonts w:hint="default" w:eastAsia="宋体"/>
                      <w:color w:val="auto"/>
                      <w:szCs w:val="21"/>
                      <w:highlight w:val="none"/>
                      <w:lang w:val="en-US" w:eastAsia="zh-CN"/>
                    </w:rPr>
                  </w:pPr>
                  <w:r>
                    <w:rPr>
                      <w:rFonts w:hint="eastAsia"/>
                      <w:color w:val="auto"/>
                      <w:highlight w:val="none"/>
                      <w:lang w:val="en-US" w:eastAsia="zh-CN"/>
                    </w:rPr>
                    <w:t>1.0</w:t>
                  </w:r>
                </w:p>
              </w:tc>
              <w:tc>
                <w:tcPr>
                  <w:tcW w:w="1619" w:type="dxa"/>
                  <w:noWrap w:val="0"/>
                  <w:vAlign w:val="center"/>
                </w:tcPr>
                <w:p w14:paraId="6F80EF77">
                  <w:pPr>
                    <w:keepNext w:val="0"/>
                    <w:keepLines w:val="0"/>
                    <w:suppressLineNumbers w:val="0"/>
                    <w:spacing w:before="0" w:beforeAutospacing="0" w:after="0" w:afterAutospacing="0" w:line="240" w:lineRule="auto"/>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876" w:type="dxa"/>
                  <w:noWrap w:val="0"/>
                  <w:vAlign w:val="center"/>
                </w:tcPr>
                <w:p w14:paraId="2441F7E0">
                  <w:pPr>
                    <w:keepNext w:val="0"/>
                    <w:keepLines w:val="0"/>
                    <w:suppressLineNumbers w:val="0"/>
                    <w:spacing w:before="0" w:beforeAutospacing="0" w:after="0" w:afterAutospacing="0" w:line="240" w:lineRule="auto"/>
                    <w:ind w:left="0" w:right="0"/>
                    <w:jc w:val="center"/>
                    <w:rPr>
                      <w:rFonts w:hint="default" w:eastAsia="宋体"/>
                      <w:color w:val="auto"/>
                      <w:szCs w:val="21"/>
                      <w:highlight w:val="none"/>
                      <w:lang w:val="en-US" w:eastAsia="zh-CN"/>
                    </w:rPr>
                  </w:pPr>
                </w:p>
              </w:tc>
            </w:tr>
          </w:tbl>
          <w:p w14:paraId="677A4EBA">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lang w:val="zh-CN"/>
              </w:rPr>
            </w:pPr>
            <w:r>
              <w:rPr>
                <w:rFonts w:hint="default"/>
                <w:b/>
                <w:bCs/>
                <w:color w:val="auto"/>
                <w:sz w:val="21"/>
                <w:szCs w:val="21"/>
                <w:highlight w:val="none"/>
                <w:lang w:val="zh-CN"/>
              </w:rPr>
              <w:t>表</w:t>
            </w:r>
            <w:r>
              <w:rPr>
                <w:rFonts w:hint="eastAsia"/>
                <w:b/>
                <w:bCs/>
                <w:color w:val="auto"/>
                <w:sz w:val="21"/>
                <w:szCs w:val="21"/>
                <w:highlight w:val="none"/>
              </w:rPr>
              <w:t>4</w:t>
            </w:r>
            <w:r>
              <w:rPr>
                <w:rFonts w:hint="default"/>
                <w:b/>
                <w:bCs/>
                <w:color w:val="auto"/>
                <w:sz w:val="21"/>
                <w:szCs w:val="21"/>
                <w:highlight w:val="none"/>
              </w:rPr>
              <w:t>-</w:t>
            </w:r>
            <w:r>
              <w:rPr>
                <w:rFonts w:hint="eastAsia"/>
                <w:b/>
                <w:bCs/>
                <w:color w:val="auto"/>
                <w:sz w:val="21"/>
                <w:szCs w:val="21"/>
                <w:highlight w:val="none"/>
              </w:rPr>
              <w:t>1</w:t>
            </w:r>
            <w:r>
              <w:rPr>
                <w:rFonts w:hint="eastAsia"/>
                <w:b/>
                <w:bCs/>
                <w:color w:val="auto"/>
                <w:sz w:val="21"/>
                <w:szCs w:val="21"/>
                <w:highlight w:val="none"/>
                <w:lang w:val="en-US" w:eastAsia="zh-CN"/>
              </w:rPr>
              <w:t>1</w:t>
            </w:r>
            <w:r>
              <w:rPr>
                <w:rFonts w:hint="eastAsia"/>
                <w:b/>
                <w:bCs/>
                <w:color w:val="auto"/>
                <w:sz w:val="21"/>
                <w:szCs w:val="21"/>
                <w:highlight w:val="none"/>
              </w:rPr>
              <w:t xml:space="preserve">  </w:t>
            </w:r>
            <w:r>
              <w:rPr>
                <w:rFonts w:hint="default"/>
                <w:b/>
                <w:bCs/>
                <w:color w:val="auto"/>
                <w:sz w:val="21"/>
                <w:szCs w:val="21"/>
                <w:highlight w:val="none"/>
              </w:rPr>
              <w:t>废气排放量核算总表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3321"/>
              <w:gridCol w:w="3322"/>
            </w:tblGrid>
            <w:tr w14:paraId="74FECC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3" w:type="dxa"/>
                  <w:noWrap w:val="0"/>
                  <w:vAlign w:val="center"/>
                </w:tcPr>
                <w:p w14:paraId="16DE3CA4">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序号</w:t>
                  </w:r>
                </w:p>
              </w:tc>
              <w:tc>
                <w:tcPr>
                  <w:tcW w:w="3321" w:type="dxa"/>
                  <w:noWrap w:val="0"/>
                  <w:vAlign w:val="center"/>
                </w:tcPr>
                <w:p w14:paraId="502467EE">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污染物</w:t>
                  </w:r>
                </w:p>
              </w:tc>
              <w:tc>
                <w:tcPr>
                  <w:tcW w:w="3322" w:type="dxa"/>
                  <w:noWrap w:val="0"/>
                  <w:vAlign w:val="center"/>
                </w:tcPr>
                <w:p w14:paraId="5791FD32">
                  <w:pPr>
                    <w:keepNext w:val="0"/>
                    <w:keepLines w:val="0"/>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核算年排放量t/a</w:t>
                  </w:r>
                </w:p>
              </w:tc>
            </w:tr>
            <w:tr w14:paraId="5C5A4D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3" w:type="dxa"/>
                  <w:noWrap w:val="0"/>
                  <w:vAlign w:val="center"/>
                </w:tcPr>
                <w:p w14:paraId="68632729">
                  <w:pPr>
                    <w:keepNext w:val="0"/>
                    <w:keepLines w:val="0"/>
                    <w:suppressLineNumbers w:val="0"/>
                    <w:spacing w:before="0" w:beforeAutospacing="0" w:after="0" w:afterAutospacing="0" w:line="240" w:lineRule="auto"/>
                    <w:ind w:left="0" w:right="0"/>
                    <w:jc w:val="center"/>
                    <w:rPr>
                      <w:rFonts w:hint="default"/>
                      <w:color w:val="auto"/>
                      <w:szCs w:val="21"/>
                      <w:highlight w:val="none"/>
                    </w:rPr>
                  </w:pPr>
                  <w:r>
                    <w:rPr>
                      <w:rFonts w:hint="eastAsia"/>
                      <w:color w:val="auto"/>
                      <w:szCs w:val="21"/>
                      <w:highlight w:val="none"/>
                    </w:rPr>
                    <w:t>1</w:t>
                  </w:r>
                </w:p>
              </w:tc>
              <w:tc>
                <w:tcPr>
                  <w:tcW w:w="3321" w:type="dxa"/>
                  <w:noWrap w:val="0"/>
                  <w:vAlign w:val="center"/>
                </w:tcPr>
                <w:p w14:paraId="612646D2">
                  <w:pPr>
                    <w:keepNext w:val="0"/>
                    <w:keepLines w:val="0"/>
                    <w:suppressLineNumbers w:val="0"/>
                    <w:spacing w:before="0" w:beforeAutospacing="0" w:after="0" w:afterAutospacing="0" w:line="240" w:lineRule="auto"/>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颗粒物</w:t>
                  </w:r>
                </w:p>
              </w:tc>
              <w:tc>
                <w:tcPr>
                  <w:tcW w:w="3322" w:type="dxa"/>
                  <w:noWrap w:val="0"/>
                  <w:vAlign w:val="center"/>
                </w:tcPr>
                <w:p w14:paraId="25E0021A">
                  <w:pPr>
                    <w:keepNext w:val="0"/>
                    <w:keepLines w:val="0"/>
                    <w:suppressLineNumbers w:val="0"/>
                    <w:spacing w:before="0" w:beforeAutospacing="0" w:after="0" w:afterAutospacing="0" w:line="240" w:lineRule="auto"/>
                    <w:ind w:left="0" w:right="0"/>
                    <w:jc w:val="center"/>
                    <w:rPr>
                      <w:rFonts w:hint="default" w:eastAsia="宋体"/>
                      <w:color w:val="auto"/>
                      <w:szCs w:val="21"/>
                      <w:highlight w:val="none"/>
                      <w:lang w:val="en-US" w:eastAsia="zh-CN"/>
                    </w:rPr>
                  </w:pPr>
                </w:p>
              </w:tc>
            </w:tr>
          </w:tbl>
          <w:p w14:paraId="69090C70">
            <w:pPr>
              <w:keepNext w:val="0"/>
              <w:keepLines w:val="0"/>
              <w:suppressLineNumbers w:val="0"/>
              <w:spacing w:before="0" w:beforeAutospacing="0" w:after="0" w:afterAutospacing="0"/>
              <w:ind w:left="0" w:right="0" w:firstLine="422" w:firstLineChars="200"/>
              <w:rPr>
                <w:rFonts w:hint="eastAsia"/>
                <w:b/>
                <w:bCs/>
                <w:color w:val="auto"/>
                <w:szCs w:val="21"/>
                <w:highlight w:val="none"/>
              </w:rPr>
            </w:pPr>
            <w:r>
              <w:rPr>
                <w:rFonts w:hint="eastAsia"/>
                <w:b/>
                <w:bCs/>
                <w:color w:val="auto"/>
                <w:szCs w:val="21"/>
                <w:highlight w:val="none"/>
              </w:rPr>
              <w:t>（3）污染物非正常排放量核算</w:t>
            </w:r>
          </w:p>
          <w:p w14:paraId="78EF20F6">
            <w:pPr>
              <w:keepNext w:val="0"/>
              <w:keepLines w:val="0"/>
              <w:suppressLineNumbers w:val="0"/>
              <w:spacing w:before="0" w:beforeAutospacing="0" w:after="0" w:afterAutospacing="0"/>
              <w:ind w:left="0" w:right="0" w:firstLine="420" w:firstLineChars="200"/>
              <w:rPr>
                <w:rFonts w:hint="default"/>
                <w:color w:val="auto"/>
                <w:highlight w:val="none"/>
              </w:rPr>
            </w:pPr>
            <w:r>
              <w:rPr>
                <w:rFonts w:hint="default"/>
                <w:color w:val="auto"/>
                <w:szCs w:val="21"/>
                <w:highlight w:val="none"/>
              </w:rPr>
              <w:t>本项目废气处理设施故障非正常工况主要考虑：①因风机故障或环保设施检修过程中企业不停产，导致废气收集效率降低，而造成废气非正常排放，环评分析最坏情况，即收集效率为0，直接呈无组织排放</w:t>
            </w:r>
            <w:r>
              <w:rPr>
                <w:rFonts w:hint="default"/>
                <w:color w:val="auto"/>
                <w:sz w:val="24"/>
                <w:highlight w:val="none"/>
              </w:rPr>
              <w:t>；</w:t>
            </w:r>
            <w:r>
              <w:rPr>
                <w:rFonts w:hint="default"/>
                <w:color w:val="auto"/>
                <w:szCs w:val="21"/>
                <w:highlight w:val="none"/>
              </w:rPr>
              <w:t>②因</w:t>
            </w:r>
            <w:r>
              <w:rPr>
                <w:rFonts w:hint="eastAsia"/>
                <w:color w:val="auto"/>
                <w:szCs w:val="21"/>
                <w:highlight w:val="none"/>
              </w:rPr>
              <w:t>布袋破损</w:t>
            </w:r>
            <w:r>
              <w:rPr>
                <w:rFonts w:hint="default"/>
                <w:color w:val="auto"/>
                <w:szCs w:val="21"/>
                <w:highlight w:val="none"/>
              </w:rPr>
              <w:t>未及时更换，导致处理效率下降，而出现废气未经有效处理直接排放，环评分析最坏情况，即处理效率为0，废气收集效率</w:t>
            </w:r>
            <w:r>
              <w:rPr>
                <w:rFonts w:hint="eastAsia"/>
                <w:color w:val="auto"/>
                <w:szCs w:val="21"/>
                <w:highlight w:val="none"/>
              </w:rPr>
              <w:t>正常</w:t>
            </w:r>
            <w:r>
              <w:rPr>
                <w:rFonts w:hint="default"/>
                <w:color w:val="auto"/>
                <w:szCs w:val="21"/>
                <w:highlight w:val="none"/>
              </w:rPr>
              <w:t>，未收集废气按正常工况无组织排放量核算。非正常排放量核算见</w:t>
            </w:r>
            <w:r>
              <w:rPr>
                <w:rFonts w:hint="default"/>
                <w:b/>
                <w:bCs/>
                <w:color w:val="auto"/>
                <w:szCs w:val="21"/>
                <w:highlight w:val="none"/>
              </w:rPr>
              <w:t>表</w:t>
            </w:r>
            <w:r>
              <w:rPr>
                <w:rFonts w:hint="eastAsia"/>
                <w:b/>
                <w:bCs/>
                <w:color w:val="auto"/>
                <w:szCs w:val="21"/>
                <w:highlight w:val="none"/>
              </w:rPr>
              <w:t>4</w:t>
            </w:r>
            <w:r>
              <w:rPr>
                <w:rFonts w:hint="default"/>
                <w:b/>
                <w:bCs/>
                <w:color w:val="auto"/>
                <w:szCs w:val="21"/>
                <w:highlight w:val="none"/>
              </w:rPr>
              <w:t>-</w:t>
            </w:r>
            <w:r>
              <w:rPr>
                <w:rFonts w:hint="eastAsia"/>
                <w:b/>
                <w:bCs/>
                <w:color w:val="auto"/>
                <w:szCs w:val="21"/>
                <w:highlight w:val="none"/>
              </w:rPr>
              <w:t>1</w:t>
            </w:r>
            <w:r>
              <w:rPr>
                <w:rFonts w:hint="eastAsia"/>
                <w:b/>
                <w:bCs/>
                <w:color w:val="auto"/>
                <w:szCs w:val="21"/>
                <w:highlight w:val="none"/>
                <w:lang w:val="en-US" w:eastAsia="zh-CN"/>
              </w:rPr>
              <w:t>2</w:t>
            </w:r>
            <w:r>
              <w:rPr>
                <w:rFonts w:hint="default"/>
                <w:color w:val="auto"/>
                <w:szCs w:val="21"/>
                <w:highlight w:val="none"/>
              </w:rPr>
              <w:t>。</w:t>
            </w:r>
          </w:p>
          <w:p w14:paraId="33DF4649">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rPr>
            </w:pPr>
            <w:r>
              <w:rPr>
                <w:rFonts w:hint="default"/>
                <w:b/>
                <w:bCs/>
                <w:color w:val="auto"/>
                <w:sz w:val="21"/>
                <w:szCs w:val="21"/>
                <w:highlight w:val="none"/>
              </w:rPr>
              <w:t>表</w:t>
            </w:r>
            <w:r>
              <w:rPr>
                <w:rFonts w:hint="eastAsia"/>
                <w:b/>
                <w:bCs/>
                <w:color w:val="auto"/>
                <w:sz w:val="21"/>
                <w:szCs w:val="21"/>
                <w:highlight w:val="none"/>
              </w:rPr>
              <w:t>4</w:t>
            </w:r>
            <w:r>
              <w:rPr>
                <w:rFonts w:hint="default"/>
                <w:b/>
                <w:bCs/>
                <w:color w:val="auto"/>
                <w:sz w:val="21"/>
                <w:szCs w:val="21"/>
                <w:highlight w:val="none"/>
              </w:rPr>
              <w:t>-</w:t>
            </w:r>
            <w:r>
              <w:rPr>
                <w:rFonts w:hint="eastAsia"/>
                <w:b/>
                <w:bCs/>
                <w:color w:val="auto"/>
                <w:sz w:val="21"/>
                <w:szCs w:val="21"/>
                <w:highlight w:val="none"/>
              </w:rPr>
              <w:t>1</w:t>
            </w:r>
            <w:r>
              <w:rPr>
                <w:rFonts w:hint="eastAsia"/>
                <w:b/>
                <w:bCs/>
                <w:color w:val="auto"/>
                <w:sz w:val="21"/>
                <w:szCs w:val="21"/>
                <w:highlight w:val="none"/>
                <w:lang w:val="en-US" w:eastAsia="zh-CN"/>
              </w:rPr>
              <w:t>2</w:t>
            </w:r>
            <w:r>
              <w:rPr>
                <w:rFonts w:hint="eastAsia"/>
                <w:b/>
                <w:bCs/>
                <w:color w:val="auto"/>
                <w:sz w:val="21"/>
                <w:szCs w:val="21"/>
                <w:highlight w:val="none"/>
              </w:rPr>
              <w:t xml:space="preserve"> </w:t>
            </w:r>
            <w:r>
              <w:rPr>
                <w:rFonts w:hint="default"/>
                <w:b/>
                <w:bCs/>
                <w:color w:val="auto"/>
                <w:sz w:val="21"/>
                <w:szCs w:val="21"/>
                <w:highlight w:val="none"/>
              </w:rPr>
              <w:t xml:space="preserve"> 污染源非正常排放核算表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6"/>
              <w:gridCol w:w="464"/>
              <w:gridCol w:w="947"/>
              <w:gridCol w:w="758"/>
              <w:gridCol w:w="767"/>
              <w:gridCol w:w="633"/>
              <w:gridCol w:w="778"/>
              <w:gridCol w:w="777"/>
              <w:gridCol w:w="723"/>
              <w:gridCol w:w="623"/>
              <w:gridCol w:w="551"/>
              <w:gridCol w:w="979"/>
            </w:tblGrid>
            <w:tr w14:paraId="730190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6" w:type="dxa"/>
                  <w:noWrap w:val="0"/>
                  <w:vAlign w:val="center"/>
                </w:tcPr>
                <w:p w14:paraId="0743C22C">
                  <w:pPr>
                    <w:keepNext w:val="0"/>
                    <w:keepLines w:val="0"/>
                    <w:suppressLineNumbers w:val="0"/>
                    <w:spacing w:before="0" w:beforeAutospacing="0" w:after="0" w:afterAutospacing="0" w:line="240" w:lineRule="auto"/>
                    <w:ind w:left="-63" w:leftChars="-30" w:right="-63" w:rightChars="-30"/>
                    <w:rPr>
                      <w:rFonts w:hint="default"/>
                      <w:b/>
                      <w:bCs/>
                      <w:color w:val="auto"/>
                      <w:szCs w:val="21"/>
                      <w:highlight w:val="none"/>
                    </w:rPr>
                  </w:pPr>
                  <w:r>
                    <w:rPr>
                      <w:rFonts w:hint="eastAsia"/>
                      <w:b/>
                      <w:bCs/>
                      <w:color w:val="auto"/>
                      <w:szCs w:val="21"/>
                      <w:highlight w:val="none"/>
                    </w:rPr>
                    <w:t>序号</w:t>
                  </w:r>
                </w:p>
              </w:tc>
              <w:tc>
                <w:tcPr>
                  <w:tcW w:w="464" w:type="dxa"/>
                  <w:noWrap w:val="0"/>
                  <w:vAlign w:val="center"/>
                </w:tcPr>
                <w:p w14:paraId="61CC2A44">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污染源</w:t>
                  </w:r>
                </w:p>
              </w:tc>
              <w:tc>
                <w:tcPr>
                  <w:tcW w:w="947" w:type="dxa"/>
                  <w:noWrap w:val="0"/>
                  <w:vAlign w:val="center"/>
                </w:tcPr>
                <w:p w14:paraId="51C48454">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非正常排放原因</w:t>
                  </w:r>
                </w:p>
              </w:tc>
              <w:tc>
                <w:tcPr>
                  <w:tcW w:w="1525" w:type="dxa"/>
                  <w:gridSpan w:val="2"/>
                  <w:noWrap w:val="0"/>
                  <w:vAlign w:val="center"/>
                </w:tcPr>
                <w:p w14:paraId="794146E6">
                  <w:pPr>
                    <w:keepNext w:val="0"/>
                    <w:keepLines w:val="0"/>
                    <w:suppressLineNumbers w:val="0"/>
                    <w:spacing w:before="0" w:beforeAutospacing="0" w:after="0" w:afterAutospacing="0" w:line="240" w:lineRule="auto"/>
                    <w:ind w:left="-63" w:leftChars="-30" w:right="-63" w:rightChars="-30"/>
                    <w:jc w:val="center"/>
                    <w:rPr>
                      <w:rFonts w:hint="eastAsia"/>
                      <w:b/>
                      <w:bCs/>
                      <w:color w:val="auto"/>
                      <w:szCs w:val="21"/>
                      <w:highlight w:val="none"/>
                    </w:rPr>
                  </w:pPr>
                  <w:r>
                    <w:rPr>
                      <w:rFonts w:hint="eastAsia"/>
                      <w:b/>
                      <w:bCs/>
                      <w:color w:val="auto"/>
                      <w:szCs w:val="21"/>
                      <w:highlight w:val="none"/>
                    </w:rPr>
                    <w:t>排放类型</w:t>
                  </w:r>
                </w:p>
              </w:tc>
              <w:tc>
                <w:tcPr>
                  <w:tcW w:w="633" w:type="dxa"/>
                  <w:noWrap w:val="0"/>
                  <w:vAlign w:val="center"/>
                </w:tcPr>
                <w:p w14:paraId="1AF7F523">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污染物</w:t>
                  </w:r>
                </w:p>
              </w:tc>
              <w:tc>
                <w:tcPr>
                  <w:tcW w:w="778" w:type="dxa"/>
                  <w:noWrap w:val="0"/>
                  <w:vAlign w:val="center"/>
                </w:tcPr>
                <w:p w14:paraId="31B16E1E">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非正常排放浓度</w:t>
                  </w:r>
                  <w:r>
                    <w:rPr>
                      <w:rFonts w:hint="eastAsia"/>
                      <w:b/>
                      <w:bCs/>
                      <w:color w:val="auto"/>
                      <w:szCs w:val="21"/>
                      <w:highlight w:val="none"/>
                    </w:rPr>
                    <w:t>/m</w:t>
                  </w:r>
                  <w:r>
                    <w:rPr>
                      <w:rFonts w:hint="default"/>
                      <w:b/>
                      <w:bCs/>
                      <w:color w:val="auto"/>
                      <w:szCs w:val="21"/>
                      <w:highlight w:val="none"/>
                    </w:rPr>
                    <w:t>g/m</w:t>
                  </w:r>
                  <w:r>
                    <w:rPr>
                      <w:rFonts w:hint="default"/>
                      <w:b/>
                      <w:bCs/>
                      <w:color w:val="auto"/>
                      <w:szCs w:val="21"/>
                      <w:highlight w:val="none"/>
                      <w:vertAlign w:val="superscript"/>
                    </w:rPr>
                    <w:t>3</w:t>
                  </w:r>
                </w:p>
              </w:tc>
              <w:tc>
                <w:tcPr>
                  <w:tcW w:w="777" w:type="dxa"/>
                  <w:noWrap w:val="0"/>
                  <w:vAlign w:val="center"/>
                </w:tcPr>
                <w:p w14:paraId="7388D4B7">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非正常排放速率/kg/h</w:t>
                  </w:r>
                </w:p>
              </w:tc>
              <w:tc>
                <w:tcPr>
                  <w:tcW w:w="723" w:type="dxa"/>
                  <w:noWrap w:val="0"/>
                  <w:vAlign w:val="center"/>
                </w:tcPr>
                <w:p w14:paraId="43035582">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eastAsia"/>
                      <w:b/>
                      <w:bCs/>
                      <w:color w:val="auto"/>
                      <w:szCs w:val="21"/>
                      <w:highlight w:val="none"/>
                    </w:rPr>
                    <w:t>排放量</w:t>
                  </w:r>
                  <w:r>
                    <w:rPr>
                      <w:rFonts w:hint="default"/>
                      <w:b/>
                      <w:bCs/>
                      <w:color w:val="auto"/>
                      <w:szCs w:val="21"/>
                      <w:highlight w:val="none"/>
                    </w:rPr>
                    <w:t>（</w:t>
                  </w:r>
                  <w:r>
                    <w:rPr>
                      <w:rFonts w:hint="eastAsia"/>
                      <w:b/>
                      <w:bCs/>
                      <w:color w:val="auto"/>
                      <w:szCs w:val="21"/>
                      <w:highlight w:val="none"/>
                    </w:rPr>
                    <w:t>kg</w:t>
                  </w:r>
                  <w:r>
                    <w:rPr>
                      <w:rFonts w:hint="default"/>
                      <w:b/>
                      <w:bCs/>
                      <w:color w:val="auto"/>
                      <w:szCs w:val="21"/>
                      <w:highlight w:val="none"/>
                    </w:rPr>
                    <w:t>）</w:t>
                  </w:r>
                </w:p>
              </w:tc>
              <w:tc>
                <w:tcPr>
                  <w:tcW w:w="623" w:type="dxa"/>
                  <w:noWrap w:val="0"/>
                  <w:vAlign w:val="center"/>
                </w:tcPr>
                <w:p w14:paraId="4B48146F">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单次持续时间/h</w:t>
                  </w:r>
                </w:p>
              </w:tc>
              <w:tc>
                <w:tcPr>
                  <w:tcW w:w="551" w:type="dxa"/>
                  <w:noWrap w:val="0"/>
                  <w:vAlign w:val="center"/>
                </w:tcPr>
                <w:p w14:paraId="3B41B51F">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年发生频次/次</w:t>
                  </w:r>
                </w:p>
              </w:tc>
              <w:tc>
                <w:tcPr>
                  <w:tcW w:w="979" w:type="dxa"/>
                  <w:noWrap w:val="0"/>
                  <w:vAlign w:val="center"/>
                </w:tcPr>
                <w:p w14:paraId="2877C32A">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应对措施</w:t>
                  </w:r>
                </w:p>
              </w:tc>
            </w:tr>
            <w:tr w14:paraId="6C6262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dxa"/>
                  <w:noWrap w:val="0"/>
                  <w:vAlign w:val="center"/>
                </w:tcPr>
                <w:p w14:paraId="37F82DE9">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szCs w:val="21"/>
                      <w:highlight w:val="none"/>
                    </w:rPr>
                    <w:t>1</w:t>
                  </w:r>
                </w:p>
              </w:tc>
              <w:tc>
                <w:tcPr>
                  <w:tcW w:w="464" w:type="dxa"/>
                  <w:vMerge w:val="restart"/>
                  <w:noWrap w:val="0"/>
                  <w:vAlign w:val="center"/>
                </w:tcPr>
                <w:p w14:paraId="4CFF9B29">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木浆粉碎、芯体成型</w:t>
                  </w:r>
                </w:p>
              </w:tc>
              <w:tc>
                <w:tcPr>
                  <w:tcW w:w="947" w:type="dxa"/>
                  <w:noWrap w:val="0"/>
                  <w:vAlign w:val="center"/>
                </w:tcPr>
                <w:p w14:paraId="509DBE46">
                  <w:pPr>
                    <w:keepNext w:val="0"/>
                    <w:keepLines w:val="0"/>
                    <w:suppressLineNumbers w:val="0"/>
                    <w:tabs>
                      <w:tab w:val="left" w:pos="840"/>
                    </w:tabs>
                    <w:spacing w:before="0" w:beforeAutospacing="0" w:after="0" w:afterAutospacing="0" w:line="240" w:lineRule="auto"/>
                    <w:ind w:left="-63" w:leftChars="-30" w:right="-63" w:rightChars="-30"/>
                    <w:jc w:val="center"/>
                    <w:rPr>
                      <w:rFonts w:hint="default"/>
                      <w:color w:val="auto"/>
                      <w:szCs w:val="21"/>
                      <w:highlight w:val="none"/>
                    </w:rPr>
                  </w:pPr>
                  <w:r>
                    <w:rPr>
                      <w:rFonts w:hint="default"/>
                      <w:color w:val="auto"/>
                      <w:szCs w:val="21"/>
                      <w:highlight w:val="none"/>
                    </w:rPr>
                    <w:t>风机故障或环保设施检修过程</w:t>
                  </w:r>
                  <w:r>
                    <w:rPr>
                      <w:rFonts w:hint="eastAsia"/>
                      <w:color w:val="auto"/>
                      <w:szCs w:val="21"/>
                      <w:highlight w:val="none"/>
                    </w:rPr>
                    <w:t>中</w:t>
                  </w:r>
                  <w:r>
                    <w:rPr>
                      <w:rFonts w:hint="default"/>
                      <w:color w:val="auto"/>
                      <w:szCs w:val="21"/>
                      <w:highlight w:val="none"/>
                    </w:rPr>
                    <w:t>企业不停产</w:t>
                  </w:r>
                </w:p>
              </w:tc>
              <w:tc>
                <w:tcPr>
                  <w:tcW w:w="1525" w:type="dxa"/>
                  <w:gridSpan w:val="2"/>
                  <w:noWrap w:val="0"/>
                  <w:vAlign w:val="center"/>
                </w:tcPr>
                <w:p w14:paraId="4A94ADD2">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无组织</w:t>
                  </w:r>
                </w:p>
              </w:tc>
              <w:tc>
                <w:tcPr>
                  <w:tcW w:w="633" w:type="dxa"/>
                  <w:noWrap w:val="0"/>
                  <w:vAlign w:val="center"/>
                </w:tcPr>
                <w:p w14:paraId="089B715D">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val="en-US" w:eastAsia="zh-CN"/>
                    </w:rPr>
                  </w:pPr>
                  <w:r>
                    <w:rPr>
                      <w:rFonts w:hint="eastAsia"/>
                      <w:color w:val="auto"/>
                      <w:szCs w:val="21"/>
                      <w:highlight w:val="none"/>
                      <w:lang w:val="en-US" w:eastAsia="zh-CN"/>
                    </w:rPr>
                    <w:t>颗粒物</w:t>
                  </w:r>
                </w:p>
              </w:tc>
              <w:tc>
                <w:tcPr>
                  <w:tcW w:w="778" w:type="dxa"/>
                  <w:noWrap w:val="0"/>
                  <w:vAlign w:val="center"/>
                </w:tcPr>
                <w:p w14:paraId="23867BCF">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szCs w:val="21"/>
                      <w:highlight w:val="none"/>
                    </w:rPr>
                    <w:t>/</w:t>
                  </w:r>
                </w:p>
              </w:tc>
              <w:tc>
                <w:tcPr>
                  <w:tcW w:w="777" w:type="dxa"/>
                  <w:noWrap w:val="0"/>
                  <w:vAlign w:val="center"/>
                </w:tcPr>
                <w:p w14:paraId="55332B97">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1.0370</w:t>
                  </w:r>
                </w:p>
              </w:tc>
              <w:tc>
                <w:tcPr>
                  <w:tcW w:w="723" w:type="dxa"/>
                  <w:noWrap w:val="0"/>
                  <w:vAlign w:val="center"/>
                </w:tcPr>
                <w:p w14:paraId="1F8F5117">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0.5185</w:t>
                  </w:r>
                </w:p>
              </w:tc>
              <w:tc>
                <w:tcPr>
                  <w:tcW w:w="623" w:type="dxa"/>
                  <w:noWrap w:val="0"/>
                  <w:vAlign w:val="center"/>
                </w:tcPr>
                <w:p w14:paraId="238A0566">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szCs w:val="21"/>
                      <w:highlight w:val="none"/>
                    </w:rPr>
                    <w:t>0.5</w:t>
                  </w:r>
                </w:p>
              </w:tc>
              <w:tc>
                <w:tcPr>
                  <w:tcW w:w="551" w:type="dxa"/>
                  <w:noWrap w:val="0"/>
                  <w:vAlign w:val="center"/>
                </w:tcPr>
                <w:p w14:paraId="6C3659C0">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szCs w:val="21"/>
                      <w:highlight w:val="none"/>
                    </w:rPr>
                    <w:t>1</w:t>
                  </w:r>
                </w:p>
              </w:tc>
              <w:tc>
                <w:tcPr>
                  <w:tcW w:w="979" w:type="dxa"/>
                  <w:noWrap w:val="0"/>
                  <w:vAlign w:val="center"/>
                </w:tcPr>
                <w:p w14:paraId="18C1D8B9">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bookmarkStart w:id="24" w:name="OLE_LINK17"/>
                  <w:r>
                    <w:rPr>
                      <w:rFonts w:hint="eastAsia"/>
                      <w:color w:val="auto"/>
                      <w:szCs w:val="21"/>
                      <w:highlight w:val="none"/>
                    </w:rPr>
                    <w:t>立即停止</w:t>
                  </w:r>
                  <w:r>
                    <w:rPr>
                      <w:rFonts w:hint="eastAsia"/>
                      <w:color w:val="auto"/>
                      <w:szCs w:val="21"/>
                      <w:highlight w:val="none"/>
                      <w:lang w:val="en-US" w:eastAsia="zh-CN"/>
                    </w:rPr>
                    <w:t>木浆粉碎、芯体成型</w:t>
                  </w:r>
                  <w:r>
                    <w:rPr>
                      <w:rFonts w:hint="eastAsia"/>
                      <w:color w:val="auto"/>
                      <w:szCs w:val="21"/>
                      <w:highlight w:val="none"/>
                    </w:rPr>
                    <w:t>作业</w:t>
                  </w:r>
                  <w:bookmarkEnd w:id="24"/>
                </w:p>
              </w:tc>
            </w:tr>
            <w:tr w14:paraId="119A5B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dxa"/>
                  <w:vMerge w:val="restart"/>
                  <w:noWrap w:val="0"/>
                  <w:vAlign w:val="center"/>
                </w:tcPr>
                <w:p w14:paraId="20CBE6B1">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eastAsia="zh-CN"/>
                    </w:rPr>
                  </w:pPr>
                  <w:r>
                    <w:rPr>
                      <w:rFonts w:hint="eastAsia"/>
                      <w:color w:val="auto"/>
                      <w:szCs w:val="21"/>
                      <w:highlight w:val="none"/>
                      <w:lang w:val="en-US" w:eastAsia="zh-CN"/>
                    </w:rPr>
                    <w:t>2</w:t>
                  </w:r>
                </w:p>
              </w:tc>
              <w:tc>
                <w:tcPr>
                  <w:tcW w:w="464" w:type="dxa"/>
                  <w:vMerge w:val="continue"/>
                  <w:noWrap w:val="0"/>
                  <w:vAlign w:val="center"/>
                </w:tcPr>
                <w:p w14:paraId="67E5D6CB">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947" w:type="dxa"/>
                  <w:vMerge w:val="restart"/>
                  <w:noWrap w:val="0"/>
                  <w:vAlign w:val="center"/>
                </w:tcPr>
                <w:p w14:paraId="4EC36F5B">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szCs w:val="21"/>
                      <w:highlight w:val="none"/>
                    </w:rPr>
                    <w:t>布袋破损未及时更换</w:t>
                  </w:r>
                </w:p>
              </w:tc>
              <w:tc>
                <w:tcPr>
                  <w:tcW w:w="758" w:type="dxa"/>
                  <w:noWrap w:val="0"/>
                  <w:vAlign w:val="center"/>
                </w:tcPr>
                <w:p w14:paraId="5686AB1D">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val="en-US" w:eastAsia="zh-CN"/>
                    </w:rPr>
                  </w:pPr>
                  <w:r>
                    <w:rPr>
                      <w:rFonts w:hint="eastAsia"/>
                      <w:color w:val="auto"/>
                      <w:szCs w:val="21"/>
                      <w:highlight w:val="none"/>
                      <w:lang w:val="en-US" w:eastAsia="zh-CN"/>
                    </w:rPr>
                    <w:t>有组织</w:t>
                  </w:r>
                </w:p>
              </w:tc>
              <w:tc>
                <w:tcPr>
                  <w:tcW w:w="767" w:type="dxa"/>
                  <w:noWrap w:val="0"/>
                  <w:vAlign w:val="center"/>
                </w:tcPr>
                <w:p w14:paraId="2B8EEB6E">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1</w:t>
                  </w:r>
                </w:p>
              </w:tc>
              <w:tc>
                <w:tcPr>
                  <w:tcW w:w="633" w:type="dxa"/>
                  <w:vMerge w:val="restart"/>
                  <w:noWrap w:val="0"/>
                  <w:vAlign w:val="center"/>
                </w:tcPr>
                <w:p w14:paraId="5747D241">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szCs w:val="21"/>
                      <w:highlight w:val="none"/>
                    </w:rPr>
                    <w:t>颗粒物</w:t>
                  </w:r>
                </w:p>
              </w:tc>
              <w:tc>
                <w:tcPr>
                  <w:tcW w:w="778" w:type="dxa"/>
                  <w:noWrap w:val="0"/>
                  <w:vAlign w:val="center"/>
                </w:tcPr>
                <w:p w14:paraId="287E8323">
                  <w:pPr>
                    <w:keepNext w:val="0"/>
                    <w:keepLines w:val="0"/>
                    <w:widowControl/>
                    <w:suppressLineNumbers w:val="0"/>
                    <w:spacing w:before="0" w:beforeAutospacing="0" w:after="0" w:afterAutospacing="0" w:line="240" w:lineRule="auto"/>
                    <w:ind w:left="-42" w:leftChars="-20" w:right="-42" w:rightChars="-2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1.22</w:t>
                  </w:r>
                </w:p>
              </w:tc>
              <w:tc>
                <w:tcPr>
                  <w:tcW w:w="777" w:type="dxa"/>
                  <w:noWrap w:val="0"/>
                  <w:vAlign w:val="center"/>
                </w:tcPr>
                <w:p w14:paraId="48FD5CA2">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0.0915</w:t>
                  </w:r>
                </w:p>
              </w:tc>
              <w:tc>
                <w:tcPr>
                  <w:tcW w:w="723" w:type="dxa"/>
                  <w:noWrap w:val="0"/>
                  <w:vAlign w:val="center"/>
                </w:tcPr>
                <w:p w14:paraId="67F8C957">
                  <w:pPr>
                    <w:keepNext w:val="0"/>
                    <w:keepLines w:val="0"/>
                    <w:suppressLineNumbers w:val="0"/>
                    <w:spacing w:before="0" w:beforeAutospacing="0" w:after="0" w:afterAutospacing="0" w:line="240" w:lineRule="auto"/>
                    <w:ind w:left="-42" w:leftChars="-20" w:right="-42" w:rightChars="-2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0.0458</w:t>
                  </w:r>
                </w:p>
              </w:tc>
              <w:tc>
                <w:tcPr>
                  <w:tcW w:w="623" w:type="dxa"/>
                  <w:vMerge w:val="restart"/>
                  <w:noWrap w:val="0"/>
                  <w:vAlign w:val="center"/>
                </w:tcPr>
                <w:p w14:paraId="1D1C8DC4">
                  <w:pPr>
                    <w:keepNext w:val="0"/>
                    <w:keepLines w:val="0"/>
                    <w:suppressLineNumbers w:val="0"/>
                    <w:spacing w:before="0" w:beforeAutospacing="0" w:after="0" w:afterAutospacing="0" w:line="240" w:lineRule="auto"/>
                    <w:ind w:left="-63" w:leftChars="-30" w:right="-63" w:rightChars="-30"/>
                    <w:jc w:val="center"/>
                    <w:rPr>
                      <w:rFonts w:hint="eastAsia"/>
                      <w:color w:val="auto"/>
                      <w:kern w:val="0"/>
                      <w:szCs w:val="21"/>
                      <w:highlight w:val="none"/>
                    </w:rPr>
                  </w:pPr>
                  <w:r>
                    <w:rPr>
                      <w:rFonts w:hint="eastAsia"/>
                      <w:color w:val="auto"/>
                      <w:szCs w:val="21"/>
                      <w:highlight w:val="none"/>
                    </w:rPr>
                    <w:t>0.5</w:t>
                  </w:r>
                </w:p>
              </w:tc>
              <w:tc>
                <w:tcPr>
                  <w:tcW w:w="551" w:type="dxa"/>
                  <w:vMerge w:val="restart"/>
                  <w:noWrap w:val="0"/>
                  <w:vAlign w:val="center"/>
                </w:tcPr>
                <w:p w14:paraId="29B91372">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1</w:t>
                  </w:r>
                </w:p>
              </w:tc>
              <w:tc>
                <w:tcPr>
                  <w:tcW w:w="979" w:type="dxa"/>
                  <w:vMerge w:val="restart"/>
                  <w:noWrap w:val="0"/>
                  <w:vAlign w:val="center"/>
                </w:tcPr>
                <w:p w14:paraId="06095CE0">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立即停止</w:t>
                  </w:r>
                  <w:r>
                    <w:rPr>
                      <w:rFonts w:hint="eastAsia"/>
                      <w:color w:val="auto"/>
                      <w:szCs w:val="21"/>
                      <w:highlight w:val="none"/>
                      <w:lang w:val="en-US" w:eastAsia="zh-CN"/>
                    </w:rPr>
                    <w:t>木浆粉碎、芯体成型</w:t>
                  </w:r>
                  <w:r>
                    <w:rPr>
                      <w:rFonts w:hint="eastAsia"/>
                      <w:color w:val="auto"/>
                      <w:szCs w:val="21"/>
                      <w:highlight w:val="none"/>
                    </w:rPr>
                    <w:t>作业</w:t>
                  </w:r>
                </w:p>
              </w:tc>
            </w:tr>
            <w:tr w14:paraId="7E90BA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dxa"/>
                  <w:vMerge w:val="continue"/>
                  <w:noWrap w:val="0"/>
                  <w:vAlign w:val="center"/>
                </w:tcPr>
                <w:p w14:paraId="7EA4E699">
                  <w:pPr>
                    <w:keepNext w:val="0"/>
                    <w:keepLines w:val="0"/>
                    <w:suppressLineNumbers w:val="0"/>
                    <w:spacing w:before="0" w:beforeAutospacing="0" w:after="0" w:afterAutospacing="0" w:line="240" w:lineRule="auto"/>
                    <w:ind w:left="-63" w:leftChars="-30" w:right="-63" w:rightChars="-30"/>
                    <w:jc w:val="center"/>
                    <w:rPr>
                      <w:rFonts w:hint="default"/>
                    </w:rPr>
                  </w:pPr>
                </w:p>
              </w:tc>
              <w:tc>
                <w:tcPr>
                  <w:tcW w:w="464" w:type="dxa"/>
                  <w:vMerge w:val="continue"/>
                  <w:noWrap w:val="0"/>
                  <w:vAlign w:val="center"/>
                </w:tcPr>
                <w:p w14:paraId="60EA03D6">
                  <w:pPr>
                    <w:keepNext w:val="0"/>
                    <w:keepLines w:val="0"/>
                    <w:suppressLineNumbers w:val="0"/>
                    <w:spacing w:before="0" w:beforeAutospacing="0" w:after="0" w:afterAutospacing="0" w:line="240" w:lineRule="auto"/>
                    <w:ind w:left="-63" w:leftChars="-30" w:right="-63" w:rightChars="-30"/>
                    <w:jc w:val="center"/>
                    <w:rPr>
                      <w:rFonts w:hint="default"/>
                    </w:rPr>
                  </w:pPr>
                </w:p>
              </w:tc>
              <w:tc>
                <w:tcPr>
                  <w:tcW w:w="947" w:type="dxa"/>
                  <w:vMerge w:val="continue"/>
                  <w:noWrap w:val="0"/>
                  <w:vAlign w:val="center"/>
                </w:tcPr>
                <w:p w14:paraId="504EEED4">
                  <w:pPr>
                    <w:keepNext w:val="0"/>
                    <w:keepLines w:val="0"/>
                    <w:suppressLineNumbers w:val="0"/>
                    <w:spacing w:before="0" w:beforeAutospacing="0" w:after="0" w:afterAutospacing="0" w:line="240" w:lineRule="auto"/>
                    <w:ind w:left="-63" w:leftChars="-30" w:right="-63" w:rightChars="-30"/>
                    <w:jc w:val="center"/>
                    <w:rPr>
                      <w:rFonts w:hint="default"/>
                    </w:rPr>
                  </w:pPr>
                </w:p>
              </w:tc>
              <w:tc>
                <w:tcPr>
                  <w:tcW w:w="758" w:type="dxa"/>
                  <w:noWrap w:val="0"/>
                  <w:vAlign w:val="center"/>
                </w:tcPr>
                <w:p w14:paraId="5BC86084">
                  <w:pPr>
                    <w:keepNext w:val="0"/>
                    <w:keepLines w:val="0"/>
                    <w:suppressLineNumbers w:val="0"/>
                    <w:spacing w:before="0" w:beforeAutospacing="0" w:after="0" w:afterAutospacing="0" w:line="240" w:lineRule="auto"/>
                    <w:ind w:left="-63" w:leftChars="-30" w:right="-63" w:rightChars="-30"/>
                    <w:jc w:val="center"/>
                    <w:rPr>
                      <w:rFonts w:hint="default"/>
                    </w:rPr>
                  </w:pPr>
                  <w:r>
                    <w:rPr>
                      <w:rFonts w:hint="eastAsia"/>
                      <w:color w:val="auto"/>
                      <w:szCs w:val="21"/>
                      <w:highlight w:val="none"/>
                      <w:lang w:val="en-US" w:eastAsia="zh-CN"/>
                    </w:rPr>
                    <w:t>有组织</w:t>
                  </w:r>
                </w:p>
              </w:tc>
              <w:tc>
                <w:tcPr>
                  <w:tcW w:w="767" w:type="dxa"/>
                  <w:noWrap w:val="0"/>
                  <w:vAlign w:val="center"/>
                </w:tcPr>
                <w:p w14:paraId="6807430C">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2</w:t>
                  </w:r>
                </w:p>
              </w:tc>
              <w:tc>
                <w:tcPr>
                  <w:tcW w:w="633" w:type="dxa"/>
                  <w:vMerge w:val="continue"/>
                  <w:noWrap w:val="0"/>
                  <w:vAlign w:val="center"/>
                </w:tcPr>
                <w:p w14:paraId="1C44A392">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78" w:type="dxa"/>
                  <w:noWrap w:val="0"/>
                  <w:vAlign w:val="center"/>
                </w:tcPr>
                <w:p w14:paraId="72243275">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1.22</w:t>
                  </w:r>
                </w:p>
              </w:tc>
              <w:tc>
                <w:tcPr>
                  <w:tcW w:w="777" w:type="dxa"/>
                  <w:noWrap w:val="0"/>
                  <w:vAlign w:val="center"/>
                </w:tcPr>
                <w:p w14:paraId="44F88E0A">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0.0915</w:t>
                  </w:r>
                </w:p>
              </w:tc>
              <w:tc>
                <w:tcPr>
                  <w:tcW w:w="723" w:type="dxa"/>
                  <w:noWrap w:val="0"/>
                  <w:vAlign w:val="center"/>
                </w:tcPr>
                <w:p w14:paraId="35D5BACF">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kern w:val="0"/>
                      <w:szCs w:val="21"/>
                      <w:highlight w:val="none"/>
                      <w:lang w:val="en-US" w:eastAsia="zh-CN"/>
                    </w:rPr>
                    <w:t>0.0458</w:t>
                  </w:r>
                </w:p>
              </w:tc>
              <w:tc>
                <w:tcPr>
                  <w:tcW w:w="623" w:type="dxa"/>
                  <w:vMerge w:val="continue"/>
                  <w:noWrap w:val="0"/>
                  <w:vAlign w:val="center"/>
                </w:tcPr>
                <w:p w14:paraId="2F3756AB">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551" w:type="dxa"/>
                  <w:vMerge w:val="continue"/>
                  <w:noWrap w:val="0"/>
                  <w:vAlign w:val="center"/>
                </w:tcPr>
                <w:p w14:paraId="5F2E9FB1">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79" w:type="dxa"/>
                  <w:vMerge w:val="continue"/>
                  <w:noWrap w:val="0"/>
                  <w:vAlign w:val="center"/>
                </w:tcPr>
                <w:p w14:paraId="769FFCB9">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r>
            <w:tr w14:paraId="3BF9A4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dxa"/>
                  <w:vMerge w:val="continue"/>
                  <w:noWrap w:val="0"/>
                  <w:vAlign w:val="center"/>
                </w:tcPr>
                <w:p w14:paraId="75BDB397">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464" w:type="dxa"/>
                  <w:vMerge w:val="continue"/>
                  <w:noWrap w:val="0"/>
                  <w:vAlign w:val="center"/>
                </w:tcPr>
                <w:p w14:paraId="319F3924">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47" w:type="dxa"/>
                  <w:vMerge w:val="continue"/>
                  <w:noWrap w:val="0"/>
                  <w:vAlign w:val="center"/>
                </w:tcPr>
                <w:p w14:paraId="153E9FD5">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58" w:type="dxa"/>
                  <w:noWrap w:val="0"/>
                  <w:vAlign w:val="center"/>
                </w:tcPr>
                <w:p w14:paraId="4CA6C182">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lang w:val="en-US" w:eastAsia="zh-CN"/>
                    </w:rPr>
                    <w:t>有组织</w:t>
                  </w:r>
                </w:p>
              </w:tc>
              <w:tc>
                <w:tcPr>
                  <w:tcW w:w="767" w:type="dxa"/>
                  <w:noWrap w:val="0"/>
                  <w:vAlign w:val="center"/>
                </w:tcPr>
                <w:p w14:paraId="52B38FAA">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DA003</w:t>
                  </w:r>
                </w:p>
              </w:tc>
              <w:tc>
                <w:tcPr>
                  <w:tcW w:w="633" w:type="dxa"/>
                  <w:vMerge w:val="continue"/>
                  <w:noWrap w:val="0"/>
                  <w:vAlign w:val="center"/>
                </w:tcPr>
                <w:p w14:paraId="398DF4FF">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78" w:type="dxa"/>
                  <w:noWrap w:val="0"/>
                  <w:vAlign w:val="center"/>
                </w:tcPr>
                <w:p w14:paraId="210079B5">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1.22</w:t>
                  </w:r>
                </w:p>
              </w:tc>
              <w:tc>
                <w:tcPr>
                  <w:tcW w:w="777" w:type="dxa"/>
                  <w:noWrap w:val="0"/>
                  <w:vAlign w:val="center"/>
                </w:tcPr>
                <w:p w14:paraId="32D99FFB">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0.0915</w:t>
                  </w:r>
                </w:p>
              </w:tc>
              <w:tc>
                <w:tcPr>
                  <w:tcW w:w="723" w:type="dxa"/>
                  <w:noWrap w:val="0"/>
                  <w:vAlign w:val="center"/>
                </w:tcPr>
                <w:p w14:paraId="59E0BE24">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kern w:val="0"/>
                      <w:szCs w:val="21"/>
                      <w:highlight w:val="none"/>
                      <w:lang w:val="en-US" w:eastAsia="zh-CN"/>
                    </w:rPr>
                    <w:t>0.0458</w:t>
                  </w:r>
                </w:p>
              </w:tc>
              <w:tc>
                <w:tcPr>
                  <w:tcW w:w="623" w:type="dxa"/>
                  <w:vMerge w:val="continue"/>
                  <w:noWrap w:val="0"/>
                  <w:vAlign w:val="center"/>
                </w:tcPr>
                <w:p w14:paraId="14205C12">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551" w:type="dxa"/>
                  <w:vMerge w:val="continue"/>
                  <w:noWrap w:val="0"/>
                  <w:vAlign w:val="center"/>
                </w:tcPr>
                <w:p w14:paraId="77003C33">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79" w:type="dxa"/>
                  <w:vMerge w:val="continue"/>
                  <w:noWrap w:val="0"/>
                  <w:vAlign w:val="center"/>
                </w:tcPr>
                <w:p w14:paraId="4F6BCAF7">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r>
            <w:tr w14:paraId="53C5C9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dxa"/>
                  <w:vMerge w:val="continue"/>
                  <w:noWrap w:val="0"/>
                  <w:vAlign w:val="center"/>
                </w:tcPr>
                <w:p w14:paraId="036D577E">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464" w:type="dxa"/>
                  <w:vMerge w:val="continue"/>
                  <w:noWrap w:val="0"/>
                  <w:vAlign w:val="center"/>
                </w:tcPr>
                <w:p w14:paraId="2E04BB49">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47" w:type="dxa"/>
                  <w:vMerge w:val="continue"/>
                  <w:noWrap w:val="0"/>
                  <w:vAlign w:val="center"/>
                </w:tcPr>
                <w:p w14:paraId="2FBB41A8">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58" w:type="dxa"/>
                  <w:noWrap w:val="0"/>
                  <w:vAlign w:val="center"/>
                </w:tcPr>
                <w:p w14:paraId="31BF802B">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lang w:val="en-US" w:eastAsia="zh-CN"/>
                    </w:rPr>
                    <w:t>有组织</w:t>
                  </w:r>
                </w:p>
              </w:tc>
              <w:tc>
                <w:tcPr>
                  <w:tcW w:w="767" w:type="dxa"/>
                  <w:noWrap w:val="0"/>
                  <w:vAlign w:val="center"/>
                </w:tcPr>
                <w:p w14:paraId="1A48642E">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4</w:t>
                  </w:r>
                </w:p>
              </w:tc>
              <w:tc>
                <w:tcPr>
                  <w:tcW w:w="633" w:type="dxa"/>
                  <w:vMerge w:val="continue"/>
                  <w:noWrap w:val="0"/>
                  <w:vAlign w:val="center"/>
                </w:tcPr>
                <w:p w14:paraId="37461407">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78" w:type="dxa"/>
                  <w:noWrap w:val="0"/>
                  <w:vAlign w:val="center"/>
                </w:tcPr>
                <w:p w14:paraId="05C86FA4">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1.22</w:t>
                  </w:r>
                </w:p>
              </w:tc>
              <w:tc>
                <w:tcPr>
                  <w:tcW w:w="777" w:type="dxa"/>
                  <w:noWrap w:val="0"/>
                  <w:vAlign w:val="center"/>
                </w:tcPr>
                <w:p w14:paraId="7E26BA43">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0.0915</w:t>
                  </w:r>
                </w:p>
              </w:tc>
              <w:tc>
                <w:tcPr>
                  <w:tcW w:w="723" w:type="dxa"/>
                  <w:noWrap w:val="0"/>
                  <w:vAlign w:val="center"/>
                </w:tcPr>
                <w:p w14:paraId="16182947">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kern w:val="0"/>
                      <w:szCs w:val="21"/>
                      <w:highlight w:val="none"/>
                      <w:lang w:val="en-US" w:eastAsia="zh-CN"/>
                    </w:rPr>
                    <w:t>0.0458</w:t>
                  </w:r>
                </w:p>
              </w:tc>
              <w:tc>
                <w:tcPr>
                  <w:tcW w:w="623" w:type="dxa"/>
                  <w:vMerge w:val="continue"/>
                  <w:noWrap w:val="0"/>
                  <w:vAlign w:val="center"/>
                </w:tcPr>
                <w:p w14:paraId="2AA8D33C">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551" w:type="dxa"/>
                  <w:vMerge w:val="continue"/>
                  <w:noWrap w:val="0"/>
                  <w:vAlign w:val="center"/>
                </w:tcPr>
                <w:p w14:paraId="3F304458">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79" w:type="dxa"/>
                  <w:vMerge w:val="continue"/>
                  <w:noWrap w:val="0"/>
                  <w:vAlign w:val="center"/>
                </w:tcPr>
                <w:p w14:paraId="6F3C67D4">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r>
            <w:tr w14:paraId="0ACF00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dxa"/>
                  <w:vMerge w:val="continue"/>
                  <w:noWrap w:val="0"/>
                  <w:vAlign w:val="center"/>
                </w:tcPr>
                <w:p w14:paraId="20929D22">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464" w:type="dxa"/>
                  <w:vMerge w:val="continue"/>
                  <w:noWrap w:val="0"/>
                  <w:vAlign w:val="center"/>
                </w:tcPr>
                <w:p w14:paraId="2ED61C72">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47" w:type="dxa"/>
                  <w:vMerge w:val="continue"/>
                  <w:noWrap w:val="0"/>
                  <w:vAlign w:val="center"/>
                </w:tcPr>
                <w:p w14:paraId="5BF81C90">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58" w:type="dxa"/>
                  <w:noWrap w:val="0"/>
                  <w:vAlign w:val="center"/>
                </w:tcPr>
                <w:p w14:paraId="655FEF6D">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lang w:val="en-US" w:eastAsia="zh-CN"/>
                    </w:rPr>
                    <w:t>有组织</w:t>
                  </w:r>
                </w:p>
              </w:tc>
              <w:tc>
                <w:tcPr>
                  <w:tcW w:w="767" w:type="dxa"/>
                  <w:noWrap w:val="0"/>
                  <w:vAlign w:val="center"/>
                </w:tcPr>
                <w:p w14:paraId="15F0D967">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5</w:t>
                  </w:r>
                </w:p>
              </w:tc>
              <w:tc>
                <w:tcPr>
                  <w:tcW w:w="633" w:type="dxa"/>
                  <w:vMerge w:val="continue"/>
                  <w:noWrap w:val="0"/>
                  <w:vAlign w:val="center"/>
                </w:tcPr>
                <w:p w14:paraId="05B84E71">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78" w:type="dxa"/>
                  <w:noWrap w:val="0"/>
                  <w:vAlign w:val="center"/>
                </w:tcPr>
                <w:p w14:paraId="1F8B00D9">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1.22</w:t>
                  </w:r>
                </w:p>
              </w:tc>
              <w:tc>
                <w:tcPr>
                  <w:tcW w:w="777" w:type="dxa"/>
                  <w:noWrap w:val="0"/>
                  <w:vAlign w:val="center"/>
                </w:tcPr>
                <w:p w14:paraId="42F5A6B8">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0.0915</w:t>
                  </w:r>
                </w:p>
              </w:tc>
              <w:tc>
                <w:tcPr>
                  <w:tcW w:w="723" w:type="dxa"/>
                  <w:noWrap w:val="0"/>
                  <w:vAlign w:val="center"/>
                </w:tcPr>
                <w:p w14:paraId="3819032A">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kern w:val="0"/>
                      <w:szCs w:val="21"/>
                      <w:highlight w:val="none"/>
                      <w:lang w:val="en-US" w:eastAsia="zh-CN"/>
                    </w:rPr>
                    <w:t>0.0458</w:t>
                  </w:r>
                </w:p>
              </w:tc>
              <w:tc>
                <w:tcPr>
                  <w:tcW w:w="623" w:type="dxa"/>
                  <w:vMerge w:val="continue"/>
                  <w:noWrap w:val="0"/>
                  <w:vAlign w:val="center"/>
                </w:tcPr>
                <w:p w14:paraId="177E1748">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551" w:type="dxa"/>
                  <w:vMerge w:val="continue"/>
                  <w:noWrap w:val="0"/>
                  <w:vAlign w:val="center"/>
                </w:tcPr>
                <w:p w14:paraId="35561133">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79" w:type="dxa"/>
                  <w:vMerge w:val="continue"/>
                  <w:noWrap w:val="0"/>
                  <w:vAlign w:val="center"/>
                </w:tcPr>
                <w:p w14:paraId="31DF33DC">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r>
            <w:tr w14:paraId="43C1E3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dxa"/>
                  <w:vMerge w:val="continue"/>
                  <w:noWrap w:val="0"/>
                  <w:vAlign w:val="center"/>
                </w:tcPr>
                <w:p w14:paraId="271AFAA5">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464" w:type="dxa"/>
                  <w:vMerge w:val="continue"/>
                  <w:noWrap w:val="0"/>
                  <w:vAlign w:val="center"/>
                </w:tcPr>
                <w:p w14:paraId="59C30390">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47" w:type="dxa"/>
                  <w:vMerge w:val="continue"/>
                  <w:noWrap w:val="0"/>
                  <w:vAlign w:val="center"/>
                </w:tcPr>
                <w:p w14:paraId="762F0661">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58" w:type="dxa"/>
                  <w:noWrap w:val="0"/>
                  <w:vAlign w:val="center"/>
                </w:tcPr>
                <w:p w14:paraId="15BE8B0C">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lang w:val="en-US" w:eastAsia="zh-CN"/>
                    </w:rPr>
                    <w:t>有组织</w:t>
                  </w:r>
                </w:p>
              </w:tc>
              <w:tc>
                <w:tcPr>
                  <w:tcW w:w="767" w:type="dxa"/>
                  <w:noWrap w:val="0"/>
                  <w:vAlign w:val="center"/>
                </w:tcPr>
                <w:p w14:paraId="027B5965">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6</w:t>
                  </w:r>
                </w:p>
              </w:tc>
              <w:tc>
                <w:tcPr>
                  <w:tcW w:w="633" w:type="dxa"/>
                  <w:vMerge w:val="continue"/>
                  <w:noWrap w:val="0"/>
                  <w:vAlign w:val="center"/>
                </w:tcPr>
                <w:p w14:paraId="50BB34E0">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78" w:type="dxa"/>
                  <w:noWrap w:val="0"/>
                  <w:vAlign w:val="center"/>
                </w:tcPr>
                <w:p w14:paraId="4D043A52">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2.81</w:t>
                  </w:r>
                </w:p>
              </w:tc>
              <w:tc>
                <w:tcPr>
                  <w:tcW w:w="777" w:type="dxa"/>
                  <w:noWrap w:val="0"/>
                  <w:vAlign w:val="center"/>
                </w:tcPr>
                <w:p w14:paraId="567351EB">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0.2111</w:t>
                  </w:r>
                </w:p>
              </w:tc>
              <w:tc>
                <w:tcPr>
                  <w:tcW w:w="723" w:type="dxa"/>
                  <w:noWrap w:val="0"/>
                  <w:vAlign w:val="center"/>
                </w:tcPr>
                <w:p w14:paraId="1FDDECEE">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0.1056</w:t>
                  </w:r>
                </w:p>
              </w:tc>
              <w:tc>
                <w:tcPr>
                  <w:tcW w:w="623" w:type="dxa"/>
                  <w:vMerge w:val="continue"/>
                  <w:noWrap w:val="0"/>
                  <w:vAlign w:val="center"/>
                </w:tcPr>
                <w:p w14:paraId="04117AA0">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551" w:type="dxa"/>
                  <w:vMerge w:val="continue"/>
                  <w:noWrap w:val="0"/>
                  <w:vAlign w:val="center"/>
                </w:tcPr>
                <w:p w14:paraId="5BF6184C">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79" w:type="dxa"/>
                  <w:vMerge w:val="continue"/>
                  <w:noWrap w:val="0"/>
                  <w:vAlign w:val="center"/>
                </w:tcPr>
                <w:p w14:paraId="7D586FA4">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r>
            <w:tr w14:paraId="387615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dxa"/>
                  <w:vMerge w:val="continue"/>
                  <w:noWrap w:val="0"/>
                  <w:vAlign w:val="center"/>
                </w:tcPr>
                <w:p w14:paraId="22FBBF2F">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464" w:type="dxa"/>
                  <w:vMerge w:val="continue"/>
                  <w:noWrap w:val="0"/>
                  <w:vAlign w:val="center"/>
                </w:tcPr>
                <w:p w14:paraId="4C1C4764">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47" w:type="dxa"/>
                  <w:vMerge w:val="continue"/>
                  <w:noWrap w:val="0"/>
                  <w:vAlign w:val="center"/>
                </w:tcPr>
                <w:p w14:paraId="28B83E05">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58" w:type="dxa"/>
                  <w:noWrap w:val="0"/>
                  <w:vAlign w:val="center"/>
                </w:tcPr>
                <w:p w14:paraId="47FAC2DA">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lang w:val="en-US" w:eastAsia="zh-CN"/>
                    </w:rPr>
                    <w:t>有组织</w:t>
                  </w:r>
                </w:p>
              </w:tc>
              <w:tc>
                <w:tcPr>
                  <w:tcW w:w="767" w:type="dxa"/>
                  <w:noWrap w:val="0"/>
                  <w:vAlign w:val="center"/>
                </w:tcPr>
                <w:p w14:paraId="07E0BA57">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DA007</w:t>
                  </w:r>
                </w:p>
              </w:tc>
              <w:tc>
                <w:tcPr>
                  <w:tcW w:w="633" w:type="dxa"/>
                  <w:vMerge w:val="continue"/>
                  <w:noWrap w:val="0"/>
                  <w:vAlign w:val="center"/>
                </w:tcPr>
                <w:p w14:paraId="27A0D564">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78" w:type="dxa"/>
                  <w:noWrap w:val="0"/>
                  <w:vAlign w:val="center"/>
                </w:tcPr>
                <w:p w14:paraId="31F18302">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2.81</w:t>
                  </w:r>
                </w:p>
              </w:tc>
              <w:tc>
                <w:tcPr>
                  <w:tcW w:w="777" w:type="dxa"/>
                  <w:noWrap w:val="0"/>
                  <w:vAlign w:val="center"/>
                </w:tcPr>
                <w:p w14:paraId="148B2960">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0.2111</w:t>
                  </w:r>
                </w:p>
              </w:tc>
              <w:tc>
                <w:tcPr>
                  <w:tcW w:w="723" w:type="dxa"/>
                  <w:noWrap w:val="0"/>
                  <w:vAlign w:val="center"/>
                </w:tcPr>
                <w:p w14:paraId="5E75E2EF">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0.1056</w:t>
                  </w:r>
                </w:p>
              </w:tc>
              <w:tc>
                <w:tcPr>
                  <w:tcW w:w="623" w:type="dxa"/>
                  <w:vMerge w:val="continue"/>
                  <w:noWrap w:val="0"/>
                  <w:vAlign w:val="center"/>
                </w:tcPr>
                <w:p w14:paraId="077090D5">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551" w:type="dxa"/>
                  <w:vMerge w:val="continue"/>
                  <w:noWrap w:val="0"/>
                  <w:vAlign w:val="center"/>
                </w:tcPr>
                <w:p w14:paraId="1F5F638E">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79" w:type="dxa"/>
                  <w:vMerge w:val="continue"/>
                  <w:noWrap w:val="0"/>
                  <w:vAlign w:val="center"/>
                </w:tcPr>
                <w:p w14:paraId="666E2354">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r>
            <w:tr w14:paraId="24DE55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dxa"/>
                  <w:vMerge w:val="continue"/>
                  <w:noWrap w:val="0"/>
                  <w:vAlign w:val="center"/>
                </w:tcPr>
                <w:p w14:paraId="365654DB">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464" w:type="dxa"/>
                  <w:vMerge w:val="continue"/>
                  <w:noWrap w:val="0"/>
                  <w:vAlign w:val="center"/>
                </w:tcPr>
                <w:p w14:paraId="068A9997">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47" w:type="dxa"/>
                  <w:vMerge w:val="continue"/>
                  <w:noWrap w:val="0"/>
                  <w:vAlign w:val="center"/>
                </w:tcPr>
                <w:p w14:paraId="67661943">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58" w:type="dxa"/>
                  <w:noWrap w:val="0"/>
                  <w:vAlign w:val="center"/>
                </w:tcPr>
                <w:p w14:paraId="24FD0206">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lang w:val="en-US" w:eastAsia="zh-CN"/>
                    </w:rPr>
                    <w:t>有组织</w:t>
                  </w:r>
                </w:p>
              </w:tc>
              <w:tc>
                <w:tcPr>
                  <w:tcW w:w="767" w:type="dxa"/>
                  <w:noWrap w:val="0"/>
                  <w:vAlign w:val="center"/>
                </w:tcPr>
                <w:p w14:paraId="703A12B3">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8</w:t>
                  </w:r>
                </w:p>
              </w:tc>
              <w:tc>
                <w:tcPr>
                  <w:tcW w:w="633" w:type="dxa"/>
                  <w:vMerge w:val="continue"/>
                  <w:noWrap w:val="0"/>
                  <w:vAlign w:val="center"/>
                </w:tcPr>
                <w:p w14:paraId="667B3715">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778" w:type="dxa"/>
                  <w:noWrap w:val="0"/>
                  <w:vAlign w:val="center"/>
                </w:tcPr>
                <w:p w14:paraId="455E5EAD">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1.41</w:t>
                  </w:r>
                </w:p>
              </w:tc>
              <w:tc>
                <w:tcPr>
                  <w:tcW w:w="777" w:type="dxa"/>
                  <w:noWrap w:val="0"/>
                  <w:vAlign w:val="center"/>
                </w:tcPr>
                <w:p w14:paraId="2B1F404B">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0.1056</w:t>
                  </w:r>
                </w:p>
              </w:tc>
              <w:tc>
                <w:tcPr>
                  <w:tcW w:w="723" w:type="dxa"/>
                  <w:noWrap w:val="0"/>
                  <w:vAlign w:val="center"/>
                </w:tcPr>
                <w:p w14:paraId="7F5CC847">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0.0528</w:t>
                  </w:r>
                </w:p>
              </w:tc>
              <w:tc>
                <w:tcPr>
                  <w:tcW w:w="623" w:type="dxa"/>
                  <w:vMerge w:val="continue"/>
                  <w:noWrap w:val="0"/>
                  <w:vAlign w:val="center"/>
                </w:tcPr>
                <w:p w14:paraId="2B0AE393">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551" w:type="dxa"/>
                  <w:vMerge w:val="continue"/>
                  <w:noWrap w:val="0"/>
                  <w:vAlign w:val="center"/>
                </w:tcPr>
                <w:p w14:paraId="45FE1BC1">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c>
                <w:tcPr>
                  <w:tcW w:w="979" w:type="dxa"/>
                  <w:vMerge w:val="continue"/>
                  <w:noWrap w:val="0"/>
                  <w:vAlign w:val="center"/>
                </w:tcPr>
                <w:p w14:paraId="24702CA1">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p>
              </w:tc>
            </w:tr>
          </w:tbl>
          <w:p w14:paraId="5B4C549D">
            <w:pPr>
              <w:pStyle w:val="24"/>
              <w:keepNext w:val="0"/>
              <w:keepLines w:val="0"/>
              <w:suppressLineNumbers w:val="0"/>
              <w:spacing w:before="0" w:beforeAutospacing="0" w:after="0"/>
              <w:ind w:right="0" w:firstLine="420" w:firstLineChars="200"/>
              <w:jc w:val="both"/>
              <w:rPr>
                <w:rFonts w:hint="default"/>
                <w:color w:val="auto"/>
                <w:sz w:val="21"/>
                <w:szCs w:val="21"/>
                <w:highlight w:val="none"/>
              </w:rPr>
            </w:pPr>
            <w:r>
              <w:rPr>
                <w:rFonts w:hint="default"/>
                <w:color w:val="auto"/>
                <w:sz w:val="21"/>
                <w:szCs w:val="21"/>
                <w:highlight w:val="none"/>
              </w:rPr>
              <w:t>企业应加强废气处理设施的维护，杜绝废气未处理直接外排情况的产生，若发生非正常排放情况应立即停止生产，采取相应的预防措施</w:t>
            </w:r>
            <w:r>
              <w:rPr>
                <w:rFonts w:hint="eastAsia"/>
                <w:color w:val="auto"/>
                <w:sz w:val="21"/>
                <w:szCs w:val="21"/>
                <w:highlight w:val="none"/>
              </w:rPr>
              <w:t>，如定期检查风机及</w:t>
            </w:r>
            <w:r>
              <w:rPr>
                <w:rFonts w:hint="eastAsia"/>
                <w:color w:val="auto"/>
                <w:sz w:val="21"/>
                <w:szCs w:val="21"/>
                <w:highlight w:val="none"/>
                <w:lang w:val="en-US" w:eastAsia="zh-CN"/>
              </w:rPr>
              <w:t>布袋</w:t>
            </w:r>
            <w:r>
              <w:rPr>
                <w:rFonts w:hint="eastAsia"/>
                <w:color w:val="auto"/>
                <w:sz w:val="21"/>
                <w:szCs w:val="21"/>
                <w:highlight w:val="none"/>
              </w:rPr>
              <w:t>等</w:t>
            </w:r>
            <w:r>
              <w:rPr>
                <w:rFonts w:hint="default"/>
                <w:color w:val="auto"/>
                <w:sz w:val="21"/>
                <w:szCs w:val="21"/>
                <w:highlight w:val="none"/>
              </w:rPr>
              <w:t>。</w:t>
            </w:r>
          </w:p>
          <w:p w14:paraId="3391E50A">
            <w:pPr>
              <w:keepNext w:val="0"/>
              <w:keepLines w:val="0"/>
              <w:suppressLineNumbers w:val="0"/>
              <w:spacing w:before="0" w:beforeAutospacing="0" w:after="0" w:afterAutospacing="0"/>
              <w:ind w:left="0" w:right="0"/>
              <w:rPr>
                <w:rFonts w:hint="default"/>
                <w:b/>
                <w:bCs/>
                <w:color w:val="auto"/>
                <w:highlight w:val="none"/>
              </w:rPr>
            </w:pPr>
            <w:r>
              <w:rPr>
                <w:rFonts w:hint="eastAsia"/>
                <w:b/>
                <w:bCs/>
                <w:color w:val="auto"/>
                <w:highlight w:val="none"/>
              </w:rPr>
              <w:t>4.2.2</w:t>
            </w:r>
            <w:r>
              <w:rPr>
                <w:rFonts w:hint="default"/>
                <w:b/>
                <w:bCs/>
                <w:color w:val="auto"/>
                <w:highlight w:val="none"/>
              </w:rPr>
              <w:t>项目废气</w:t>
            </w:r>
            <w:r>
              <w:rPr>
                <w:rFonts w:hint="eastAsia"/>
                <w:b/>
                <w:bCs/>
                <w:color w:val="auto"/>
                <w:highlight w:val="none"/>
              </w:rPr>
              <w:t>排放口基本情况</w:t>
            </w:r>
          </w:p>
          <w:p w14:paraId="0A2D1E0D">
            <w:pPr>
              <w:pStyle w:val="31"/>
              <w:keepNext w:val="0"/>
              <w:keepLines w:val="0"/>
              <w:suppressLineNumbers w:val="0"/>
              <w:spacing w:before="0" w:beforeAutospacing="0" w:after="0" w:afterAutospacing="0" w:line="240" w:lineRule="auto"/>
              <w:ind w:left="0" w:right="0" w:firstLine="0" w:firstLineChars="0"/>
              <w:jc w:val="center"/>
              <w:rPr>
                <w:rFonts w:hint="eastAsia"/>
                <w:b/>
                <w:bCs/>
                <w:color w:val="auto"/>
                <w:sz w:val="21"/>
                <w:szCs w:val="21"/>
                <w:highlight w:val="none"/>
              </w:rPr>
            </w:pPr>
          </w:p>
          <w:p w14:paraId="7486C12C">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lang w:val="zh-CN"/>
              </w:rPr>
            </w:pPr>
            <w:r>
              <w:rPr>
                <w:rFonts w:hint="eastAsia"/>
                <w:b/>
                <w:bCs/>
                <w:color w:val="auto"/>
                <w:sz w:val="21"/>
                <w:szCs w:val="21"/>
                <w:highlight w:val="none"/>
              </w:rPr>
              <w:t>表4-1</w:t>
            </w:r>
            <w:r>
              <w:rPr>
                <w:rFonts w:hint="eastAsia"/>
                <w:b/>
                <w:bCs/>
                <w:color w:val="auto"/>
                <w:sz w:val="21"/>
                <w:szCs w:val="21"/>
                <w:highlight w:val="none"/>
                <w:lang w:val="en-US" w:eastAsia="zh-CN"/>
              </w:rPr>
              <w:t>3</w:t>
            </w:r>
            <w:r>
              <w:rPr>
                <w:rFonts w:hint="eastAsia"/>
                <w:b/>
                <w:bCs/>
                <w:color w:val="auto"/>
                <w:sz w:val="21"/>
                <w:szCs w:val="21"/>
                <w:highlight w:val="none"/>
              </w:rPr>
              <w:t xml:space="preserve">  </w:t>
            </w:r>
            <w:r>
              <w:rPr>
                <w:rFonts w:hint="eastAsia"/>
                <w:b/>
                <w:bCs/>
                <w:color w:val="auto"/>
                <w:sz w:val="21"/>
                <w:szCs w:val="21"/>
                <w:highlight w:val="none"/>
                <w:lang w:val="zh-CN"/>
              </w:rPr>
              <w:t>废气</w:t>
            </w:r>
            <w:r>
              <w:rPr>
                <w:rFonts w:hint="default"/>
                <w:b/>
                <w:bCs/>
                <w:color w:val="auto"/>
                <w:sz w:val="21"/>
                <w:szCs w:val="21"/>
                <w:highlight w:val="none"/>
                <w:lang w:val="zh-CN"/>
              </w:rPr>
              <w:t>排放口基本情况表</w:t>
            </w:r>
          </w:p>
          <w:tbl>
            <w:tblPr>
              <w:tblStyle w:val="20"/>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
            <w:tblGrid>
              <w:gridCol w:w="845"/>
              <w:gridCol w:w="1011"/>
              <w:gridCol w:w="1322"/>
              <w:gridCol w:w="1211"/>
              <w:gridCol w:w="878"/>
              <w:gridCol w:w="1056"/>
              <w:gridCol w:w="766"/>
              <w:gridCol w:w="1187"/>
            </w:tblGrid>
            <w:tr w14:paraId="186D658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845" w:type="dxa"/>
                  <w:vMerge w:val="restart"/>
                  <w:shd w:val="clear" w:color="auto" w:fill="auto"/>
                  <w:noWrap w:val="0"/>
                  <w:tcMar>
                    <w:top w:w="45" w:type="dxa"/>
                    <w:left w:w="75" w:type="dxa"/>
                    <w:bottom w:w="45" w:type="dxa"/>
                    <w:right w:w="75" w:type="dxa"/>
                  </w:tcMar>
                  <w:vAlign w:val="center"/>
                </w:tcPr>
                <w:p w14:paraId="5FAFA146">
                  <w:pPr>
                    <w:keepNext w:val="0"/>
                    <w:keepLines w:val="0"/>
                    <w:widowControl/>
                    <w:suppressLineNumbers w:val="0"/>
                    <w:spacing w:before="0" w:beforeAutospacing="0" w:after="0" w:afterAutospacing="0" w:line="240" w:lineRule="auto"/>
                    <w:ind w:left="0" w:right="0"/>
                    <w:jc w:val="center"/>
                    <w:rPr>
                      <w:rFonts w:hint="default"/>
                      <w:b/>
                      <w:bCs/>
                      <w:color w:val="auto"/>
                      <w:kern w:val="0"/>
                      <w:szCs w:val="21"/>
                      <w:highlight w:val="none"/>
                      <w:lang w:bidi="ar"/>
                    </w:rPr>
                  </w:pPr>
                  <w:r>
                    <w:rPr>
                      <w:rFonts w:hint="default"/>
                      <w:b/>
                      <w:bCs/>
                      <w:color w:val="auto"/>
                      <w:kern w:val="0"/>
                      <w:szCs w:val="21"/>
                      <w:highlight w:val="none"/>
                      <w:lang w:bidi="ar"/>
                    </w:rPr>
                    <w:t>排放口编号</w:t>
                  </w:r>
                </w:p>
              </w:tc>
              <w:tc>
                <w:tcPr>
                  <w:tcW w:w="1011" w:type="dxa"/>
                  <w:vMerge w:val="restart"/>
                  <w:shd w:val="clear" w:color="auto" w:fill="auto"/>
                  <w:noWrap w:val="0"/>
                  <w:tcMar>
                    <w:top w:w="45" w:type="dxa"/>
                    <w:left w:w="75" w:type="dxa"/>
                    <w:bottom w:w="45" w:type="dxa"/>
                    <w:right w:w="75" w:type="dxa"/>
                  </w:tcMar>
                  <w:vAlign w:val="center"/>
                </w:tcPr>
                <w:p w14:paraId="00F65CC5">
                  <w:pPr>
                    <w:keepNext w:val="0"/>
                    <w:keepLines w:val="0"/>
                    <w:widowControl/>
                    <w:suppressLineNumbers w:val="0"/>
                    <w:spacing w:before="0" w:beforeAutospacing="0" w:after="0" w:afterAutospacing="0" w:line="240" w:lineRule="auto"/>
                    <w:ind w:left="0" w:right="0"/>
                    <w:jc w:val="center"/>
                    <w:rPr>
                      <w:rFonts w:hint="default"/>
                      <w:b/>
                      <w:bCs/>
                      <w:color w:val="auto"/>
                      <w:kern w:val="0"/>
                      <w:szCs w:val="21"/>
                      <w:highlight w:val="none"/>
                      <w:lang w:bidi="ar"/>
                    </w:rPr>
                  </w:pPr>
                  <w:r>
                    <w:rPr>
                      <w:rFonts w:hint="default"/>
                      <w:b/>
                      <w:bCs/>
                      <w:color w:val="auto"/>
                      <w:kern w:val="0"/>
                      <w:szCs w:val="21"/>
                      <w:highlight w:val="none"/>
                      <w:lang w:bidi="ar"/>
                    </w:rPr>
                    <w:t>污染物种类</w:t>
                  </w:r>
                </w:p>
              </w:tc>
              <w:tc>
                <w:tcPr>
                  <w:tcW w:w="2533" w:type="dxa"/>
                  <w:gridSpan w:val="2"/>
                  <w:shd w:val="clear" w:color="auto" w:fill="auto"/>
                  <w:noWrap w:val="0"/>
                  <w:tcMar>
                    <w:top w:w="45" w:type="dxa"/>
                    <w:left w:w="75" w:type="dxa"/>
                    <w:bottom w:w="45" w:type="dxa"/>
                    <w:right w:w="75" w:type="dxa"/>
                  </w:tcMar>
                  <w:vAlign w:val="center"/>
                </w:tcPr>
                <w:p w14:paraId="0A19676E">
                  <w:pPr>
                    <w:keepNext w:val="0"/>
                    <w:keepLines w:val="0"/>
                    <w:widowControl/>
                    <w:suppressLineNumbers w:val="0"/>
                    <w:spacing w:before="0" w:beforeAutospacing="0" w:after="0" w:afterAutospacing="0" w:line="240" w:lineRule="auto"/>
                    <w:ind w:left="0" w:right="0"/>
                    <w:jc w:val="center"/>
                    <w:rPr>
                      <w:rFonts w:hint="default"/>
                      <w:b/>
                      <w:bCs/>
                      <w:color w:val="auto"/>
                      <w:kern w:val="0"/>
                      <w:szCs w:val="21"/>
                      <w:highlight w:val="none"/>
                      <w:lang w:bidi="ar"/>
                    </w:rPr>
                  </w:pPr>
                  <w:r>
                    <w:rPr>
                      <w:rFonts w:hint="default"/>
                      <w:b/>
                      <w:bCs/>
                      <w:color w:val="auto"/>
                      <w:kern w:val="0"/>
                      <w:szCs w:val="21"/>
                      <w:highlight w:val="none"/>
                      <w:lang w:bidi="ar"/>
                    </w:rPr>
                    <w:t>排放口地理坐标</w:t>
                  </w:r>
                </w:p>
              </w:tc>
              <w:tc>
                <w:tcPr>
                  <w:tcW w:w="878" w:type="dxa"/>
                  <w:vMerge w:val="restart"/>
                  <w:shd w:val="clear" w:color="auto" w:fill="auto"/>
                  <w:noWrap w:val="0"/>
                  <w:tcMar>
                    <w:top w:w="45" w:type="dxa"/>
                    <w:left w:w="75" w:type="dxa"/>
                    <w:bottom w:w="45" w:type="dxa"/>
                    <w:right w:w="75" w:type="dxa"/>
                  </w:tcMar>
                  <w:vAlign w:val="center"/>
                </w:tcPr>
                <w:p w14:paraId="09DF7EC3">
                  <w:pPr>
                    <w:keepNext w:val="0"/>
                    <w:keepLines w:val="0"/>
                    <w:widowControl/>
                    <w:suppressLineNumbers w:val="0"/>
                    <w:spacing w:before="0" w:beforeAutospacing="0" w:after="0" w:afterAutospacing="0" w:line="240" w:lineRule="auto"/>
                    <w:ind w:left="0" w:right="0"/>
                    <w:jc w:val="center"/>
                    <w:rPr>
                      <w:rFonts w:hint="default"/>
                      <w:b/>
                      <w:bCs/>
                      <w:color w:val="auto"/>
                      <w:kern w:val="0"/>
                      <w:szCs w:val="21"/>
                      <w:highlight w:val="none"/>
                      <w:lang w:bidi="ar"/>
                    </w:rPr>
                  </w:pPr>
                  <w:r>
                    <w:rPr>
                      <w:rFonts w:hint="default"/>
                      <w:b/>
                      <w:bCs/>
                      <w:color w:val="auto"/>
                      <w:kern w:val="0"/>
                      <w:szCs w:val="21"/>
                      <w:highlight w:val="none"/>
                      <w:lang w:bidi="ar"/>
                    </w:rPr>
                    <w:t>排气筒高度（m）</w:t>
                  </w:r>
                </w:p>
              </w:tc>
              <w:tc>
                <w:tcPr>
                  <w:tcW w:w="1056" w:type="dxa"/>
                  <w:vMerge w:val="restart"/>
                  <w:shd w:val="clear" w:color="auto" w:fill="auto"/>
                  <w:noWrap w:val="0"/>
                  <w:tcMar>
                    <w:top w:w="45" w:type="dxa"/>
                    <w:left w:w="75" w:type="dxa"/>
                    <w:bottom w:w="45" w:type="dxa"/>
                    <w:right w:w="75" w:type="dxa"/>
                  </w:tcMar>
                  <w:vAlign w:val="center"/>
                </w:tcPr>
                <w:p w14:paraId="2D8F298E">
                  <w:pPr>
                    <w:keepNext w:val="0"/>
                    <w:keepLines w:val="0"/>
                    <w:widowControl/>
                    <w:suppressLineNumbers w:val="0"/>
                    <w:spacing w:before="0" w:beforeAutospacing="0" w:after="0" w:afterAutospacing="0" w:line="240" w:lineRule="auto"/>
                    <w:ind w:left="0" w:right="0"/>
                    <w:jc w:val="center"/>
                    <w:rPr>
                      <w:rFonts w:hint="default"/>
                      <w:b/>
                      <w:bCs/>
                      <w:color w:val="auto"/>
                      <w:kern w:val="0"/>
                      <w:szCs w:val="21"/>
                      <w:highlight w:val="none"/>
                      <w:lang w:bidi="ar"/>
                    </w:rPr>
                  </w:pPr>
                  <w:r>
                    <w:rPr>
                      <w:rFonts w:hint="default"/>
                      <w:b/>
                      <w:bCs/>
                      <w:color w:val="auto"/>
                      <w:kern w:val="0"/>
                      <w:szCs w:val="21"/>
                      <w:highlight w:val="none"/>
                      <w:lang w:bidi="ar"/>
                    </w:rPr>
                    <w:t>排气筒出口</w:t>
                  </w:r>
                  <w:r>
                    <w:rPr>
                      <w:rFonts w:hint="eastAsia"/>
                      <w:b/>
                      <w:bCs/>
                      <w:color w:val="auto"/>
                      <w:kern w:val="0"/>
                      <w:szCs w:val="21"/>
                      <w:highlight w:val="none"/>
                      <w:lang w:val="en-US" w:eastAsia="zh-CN" w:bidi="ar"/>
                    </w:rPr>
                    <w:t>尺寸</w:t>
                  </w:r>
                  <w:r>
                    <w:rPr>
                      <w:rFonts w:hint="default"/>
                      <w:b/>
                      <w:bCs/>
                      <w:color w:val="auto"/>
                      <w:kern w:val="0"/>
                      <w:szCs w:val="21"/>
                      <w:highlight w:val="none"/>
                      <w:lang w:bidi="ar"/>
                    </w:rPr>
                    <w:t>（m）</w:t>
                  </w:r>
                </w:p>
              </w:tc>
              <w:tc>
                <w:tcPr>
                  <w:tcW w:w="766" w:type="dxa"/>
                  <w:vMerge w:val="restart"/>
                  <w:shd w:val="clear" w:color="auto" w:fill="auto"/>
                  <w:noWrap w:val="0"/>
                  <w:tcMar>
                    <w:top w:w="45" w:type="dxa"/>
                    <w:left w:w="75" w:type="dxa"/>
                    <w:bottom w:w="45" w:type="dxa"/>
                    <w:right w:w="75" w:type="dxa"/>
                  </w:tcMar>
                  <w:vAlign w:val="center"/>
                </w:tcPr>
                <w:p w14:paraId="66271B59">
                  <w:pPr>
                    <w:keepNext w:val="0"/>
                    <w:keepLines w:val="0"/>
                    <w:widowControl/>
                    <w:suppressLineNumbers w:val="0"/>
                    <w:spacing w:before="0" w:beforeAutospacing="0" w:after="0" w:afterAutospacing="0" w:line="240" w:lineRule="auto"/>
                    <w:ind w:left="0" w:right="0"/>
                    <w:jc w:val="center"/>
                    <w:rPr>
                      <w:rFonts w:hint="default"/>
                      <w:b/>
                      <w:bCs/>
                      <w:color w:val="auto"/>
                      <w:kern w:val="0"/>
                      <w:szCs w:val="21"/>
                      <w:highlight w:val="none"/>
                      <w:lang w:bidi="ar"/>
                    </w:rPr>
                  </w:pPr>
                  <w:r>
                    <w:rPr>
                      <w:rFonts w:hint="default"/>
                      <w:b/>
                      <w:bCs/>
                      <w:color w:val="auto"/>
                      <w:kern w:val="0"/>
                      <w:szCs w:val="21"/>
                      <w:highlight w:val="none"/>
                      <w:lang w:bidi="ar"/>
                    </w:rPr>
                    <w:t>排气温度</w:t>
                  </w:r>
                </w:p>
              </w:tc>
              <w:tc>
                <w:tcPr>
                  <w:tcW w:w="1187" w:type="dxa"/>
                  <w:vMerge w:val="restart"/>
                  <w:shd w:val="clear" w:color="auto" w:fill="auto"/>
                  <w:noWrap w:val="0"/>
                  <w:tcMar>
                    <w:top w:w="45" w:type="dxa"/>
                    <w:left w:w="75" w:type="dxa"/>
                    <w:bottom w:w="45" w:type="dxa"/>
                    <w:right w:w="75" w:type="dxa"/>
                  </w:tcMar>
                  <w:vAlign w:val="center"/>
                </w:tcPr>
                <w:p w14:paraId="2FF41E4A">
                  <w:pPr>
                    <w:keepNext w:val="0"/>
                    <w:keepLines w:val="0"/>
                    <w:widowControl/>
                    <w:suppressLineNumbers w:val="0"/>
                    <w:spacing w:before="0" w:beforeAutospacing="0" w:after="0" w:afterAutospacing="0" w:line="240" w:lineRule="auto"/>
                    <w:ind w:left="0" w:right="0"/>
                    <w:jc w:val="center"/>
                    <w:rPr>
                      <w:rFonts w:hint="default"/>
                      <w:b/>
                      <w:bCs/>
                      <w:color w:val="auto"/>
                      <w:kern w:val="0"/>
                      <w:szCs w:val="21"/>
                      <w:highlight w:val="none"/>
                      <w:lang w:bidi="ar"/>
                    </w:rPr>
                  </w:pPr>
                  <w:r>
                    <w:rPr>
                      <w:rFonts w:hint="default"/>
                      <w:b/>
                      <w:bCs/>
                      <w:color w:val="auto"/>
                      <w:kern w:val="0"/>
                      <w:szCs w:val="21"/>
                      <w:highlight w:val="none"/>
                      <w:lang w:bidi="ar"/>
                    </w:rPr>
                    <w:t>执行标准</w:t>
                  </w:r>
                </w:p>
              </w:tc>
            </w:tr>
            <w:tr w14:paraId="67E6274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340" w:hRule="atLeast"/>
                <w:jc w:val="center"/>
              </w:trPr>
              <w:tc>
                <w:tcPr>
                  <w:tcW w:w="845" w:type="dxa"/>
                  <w:vMerge w:val="continue"/>
                  <w:shd w:val="clear" w:color="auto" w:fill="auto"/>
                  <w:noWrap w:val="0"/>
                  <w:tcMar>
                    <w:top w:w="45" w:type="dxa"/>
                    <w:left w:w="75" w:type="dxa"/>
                    <w:bottom w:w="45" w:type="dxa"/>
                    <w:right w:w="75" w:type="dxa"/>
                  </w:tcMar>
                  <w:vAlign w:val="center"/>
                </w:tcPr>
                <w:p w14:paraId="4906C370">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011" w:type="dxa"/>
                  <w:vMerge w:val="continue"/>
                  <w:shd w:val="clear" w:color="auto" w:fill="auto"/>
                  <w:noWrap w:val="0"/>
                  <w:tcMar>
                    <w:top w:w="45" w:type="dxa"/>
                    <w:left w:w="75" w:type="dxa"/>
                    <w:bottom w:w="45" w:type="dxa"/>
                    <w:right w:w="75" w:type="dxa"/>
                  </w:tcMar>
                  <w:vAlign w:val="center"/>
                </w:tcPr>
                <w:p w14:paraId="1C3E78DF">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322" w:type="dxa"/>
                  <w:shd w:val="clear" w:color="auto" w:fill="auto"/>
                  <w:noWrap w:val="0"/>
                  <w:tcMar>
                    <w:top w:w="45" w:type="dxa"/>
                    <w:left w:w="75" w:type="dxa"/>
                    <w:bottom w:w="45" w:type="dxa"/>
                    <w:right w:w="75" w:type="dxa"/>
                  </w:tcMar>
                  <w:vAlign w:val="center"/>
                </w:tcPr>
                <w:p w14:paraId="3B0D0EF0">
                  <w:pPr>
                    <w:keepNext w:val="0"/>
                    <w:keepLines w:val="0"/>
                    <w:widowControl/>
                    <w:suppressLineNumbers w:val="0"/>
                    <w:spacing w:before="0" w:beforeAutospacing="0" w:after="0" w:afterAutospacing="0" w:line="240" w:lineRule="auto"/>
                    <w:ind w:left="0" w:right="0"/>
                    <w:jc w:val="center"/>
                    <w:rPr>
                      <w:rFonts w:hint="default"/>
                      <w:b/>
                      <w:bCs/>
                      <w:color w:val="auto"/>
                      <w:kern w:val="0"/>
                      <w:szCs w:val="21"/>
                      <w:highlight w:val="none"/>
                      <w:lang w:bidi="ar"/>
                    </w:rPr>
                  </w:pPr>
                  <w:r>
                    <w:rPr>
                      <w:rFonts w:hint="default"/>
                      <w:b/>
                      <w:bCs/>
                      <w:color w:val="auto"/>
                      <w:kern w:val="0"/>
                      <w:szCs w:val="21"/>
                      <w:highlight w:val="none"/>
                      <w:lang w:bidi="ar"/>
                    </w:rPr>
                    <w:t>经度</w:t>
                  </w:r>
                </w:p>
              </w:tc>
              <w:tc>
                <w:tcPr>
                  <w:tcW w:w="1211" w:type="dxa"/>
                  <w:shd w:val="clear" w:color="auto" w:fill="auto"/>
                  <w:noWrap w:val="0"/>
                  <w:tcMar>
                    <w:top w:w="45" w:type="dxa"/>
                    <w:left w:w="75" w:type="dxa"/>
                    <w:bottom w:w="45" w:type="dxa"/>
                    <w:right w:w="75" w:type="dxa"/>
                  </w:tcMar>
                  <w:vAlign w:val="center"/>
                </w:tcPr>
                <w:p w14:paraId="239C3481">
                  <w:pPr>
                    <w:keepNext w:val="0"/>
                    <w:keepLines w:val="0"/>
                    <w:widowControl/>
                    <w:suppressLineNumbers w:val="0"/>
                    <w:spacing w:before="0" w:beforeAutospacing="0" w:after="0" w:afterAutospacing="0" w:line="240" w:lineRule="auto"/>
                    <w:ind w:left="0" w:right="0"/>
                    <w:jc w:val="center"/>
                    <w:rPr>
                      <w:rFonts w:hint="default"/>
                      <w:b/>
                      <w:bCs/>
                      <w:color w:val="auto"/>
                      <w:kern w:val="0"/>
                      <w:szCs w:val="21"/>
                      <w:highlight w:val="none"/>
                      <w:lang w:bidi="ar"/>
                    </w:rPr>
                  </w:pPr>
                  <w:r>
                    <w:rPr>
                      <w:rFonts w:hint="default"/>
                      <w:b/>
                      <w:bCs/>
                      <w:color w:val="auto"/>
                      <w:kern w:val="0"/>
                      <w:szCs w:val="21"/>
                      <w:highlight w:val="none"/>
                      <w:lang w:bidi="ar"/>
                    </w:rPr>
                    <w:t>纬度</w:t>
                  </w:r>
                </w:p>
              </w:tc>
              <w:tc>
                <w:tcPr>
                  <w:tcW w:w="878" w:type="dxa"/>
                  <w:vMerge w:val="continue"/>
                  <w:shd w:val="clear" w:color="auto" w:fill="auto"/>
                  <w:noWrap w:val="0"/>
                  <w:tcMar>
                    <w:top w:w="45" w:type="dxa"/>
                    <w:left w:w="75" w:type="dxa"/>
                    <w:bottom w:w="45" w:type="dxa"/>
                    <w:right w:w="75" w:type="dxa"/>
                  </w:tcMar>
                  <w:vAlign w:val="center"/>
                </w:tcPr>
                <w:p w14:paraId="38747776">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056" w:type="dxa"/>
                  <w:vMerge w:val="continue"/>
                  <w:shd w:val="clear" w:color="auto" w:fill="auto"/>
                  <w:noWrap w:val="0"/>
                  <w:tcMar>
                    <w:top w:w="45" w:type="dxa"/>
                    <w:left w:w="75" w:type="dxa"/>
                    <w:bottom w:w="45" w:type="dxa"/>
                    <w:right w:w="75" w:type="dxa"/>
                  </w:tcMar>
                  <w:vAlign w:val="center"/>
                </w:tcPr>
                <w:p w14:paraId="7E921F0B">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766" w:type="dxa"/>
                  <w:vMerge w:val="continue"/>
                  <w:shd w:val="clear" w:color="auto" w:fill="auto"/>
                  <w:noWrap w:val="0"/>
                  <w:tcMar>
                    <w:top w:w="45" w:type="dxa"/>
                    <w:left w:w="75" w:type="dxa"/>
                    <w:bottom w:w="45" w:type="dxa"/>
                    <w:right w:w="75" w:type="dxa"/>
                  </w:tcMar>
                  <w:vAlign w:val="center"/>
                </w:tcPr>
                <w:p w14:paraId="26B8BDEF">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187" w:type="dxa"/>
                  <w:vMerge w:val="continue"/>
                  <w:shd w:val="clear" w:color="auto" w:fill="auto"/>
                  <w:noWrap w:val="0"/>
                  <w:tcMar>
                    <w:top w:w="45" w:type="dxa"/>
                    <w:left w:w="75" w:type="dxa"/>
                    <w:bottom w:w="45" w:type="dxa"/>
                    <w:right w:w="75" w:type="dxa"/>
                  </w:tcMar>
                  <w:vAlign w:val="center"/>
                </w:tcPr>
                <w:p w14:paraId="73B272D4">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r>
            <w:tr w14:paraId="430CE3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340" w:hRule="atLeast"/>
                <w:jc w:val="center"/>
              </w:trPr>
              <w:tc>
                <w:tcPr>
                  <w:tcW w:w="845" w:type="dxa"/>
                  <w:shd w:val="clear" w:color="auto" w:fill="auto"/>
                  <w:noWrap w:val="0"/>
                  <w:tcMar>
                    <w:top w:w="45" w:type="dxa"/>
                    <w:left w:w="75" w:type="dxa"/>
                    <w:bottom w:w="45" w:type="dxa"/>
                    <w:right w:w="75" w:type="dxa"/>
                  </w:tcMar>
                  <w:vAlign w:val="center"/>
                </w:tcPr>
                <w:p w14:paraId="4985FC65">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bookmarkStart w:id="25" w:name="OLE_LINK41" w:colFirst="2" w:colLast="3"/>
                  <w:r>
                    <w:rPr>
                      <w:rFonts w:hint="default"/>
                      <w:color w:val="auto"/>
                      <w:kern w:val="0"/>
                      <w:szCs w:val="21"/>
                      <w:highlight w:val="none"/>
                      <w:lang w:bidi="ar"/>
                    </w:rPr>
                    <w:t>DA001</w:t>
                  </w:r>
                </w:p>
              </w:tc>
              <w:tc>
                <w:tcPr>
                  <w:tcW w:w="1011" w:type="dxa"/>
                  <w:vMerge w:val="restart"/>
                  <w:shd w:val="clear" w:color="auto" w:fill="auto"/>
                  <w:noWrap w:val="0"/>
                  <w:tcMar>
                    <w:top w:w="45" w:type="dxa"/>
                    <w:left w:w="75" w:type="dxa"/>
                    <w:bottom w:w="45" w:type="dxa"/>
                    <w:right w:w="75" w:type="dxa"/>
                  </w:tcMar>
                  <w:vAlign w:val="center"/>
                </w:tcPr>
                <w:p w14:paraId="68459D2D">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eastAsia"/>
                      <w:color w:val="auto"/>
                      <w:kern w:val="0"/>
                      <w:szCs w:val="21"/>
                      <w:highlight w:val="none"/>
                      <w:lang w:val="en-US" w:eastAsia="zh-CN" w:bidi="ar"/>
                    </w:rPr>
                    <w:t>颗粒物</w:t>
                  </w:r>
                </w:p>
              </w:tc>
              <w:tc>
                <w:tcPr>
                  <w:tcW w:w="1322" w:type="dxa"/>
                  <w:shd w:val="clear" w:color="auto" w:fill="auto"/>
                  <w:noWrap w:val="0"/>
                  <w:tcMar>
                    <w:top w:w="45" w:type="dxa"/>
                    <w:left w:w="75" w:type="dxa"/>
                    <w:bottom w:w="45" w:type="dxa"/>
                    <w:right w:w="75" w:type="dxa"/>
                  </w:tcMar>
                  <w:vAlign w:val="center"/>
                </w:tcPr>
                <w:p w14:paraId="7D22D652">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bookmarkStart w:id="26" w:name="OLE_LINK40"/>
                  <w:r>
                    <w:rPr>
                      <w:rFonts w:hint="eastAsia"/>
                      <w:color w:val="auto"/>
                      <w:kern w:val="0"/>
                      <w:szCs w:val="21"/>
                      <w:highlight w:val="none"/>
                      <w:lang w:bidi="ar"/>
                    </w:rPr>
                    <w:t>118.705231</w:t>
                  </w:r>
                  <w:r>
                    <w:rPr>
                      <w:rFonts w:hint="default"/>
                      <w:color w:val="auto"/>
                      <w:kern w:val="0"/>
                      <w:szCs w:val="21"/>
                      <w:highlight w:val="none"/>
                      <w:lang w:bidi="ar"/>
                    </w:rPr>
                    <w:t>°</w:t>
                  </w:r>
                  <w:bookmarkEnd w:id="26"/>
                </w:p>
              </w:tc>
              <w:tc>
                <w:tcPr>
                  <w:tcW w:w="1211" w:type="dxa"/>
                  <w:shd w:val="clear" w:color="auto" w:fill="auto"/>
                  <w:noWrap w:val="0"/>
                  <w:tcMar>
                    <w:top w:w="45" w:type="dxa"/>
                    <w:left w:w="75" w:type="dxa"/>
                    <w:bottom w:w="45" w:type="dxa"/>
                    <w:right w:w="75" w:type="dxa"/>
                  </w:tcMar>
                  <w:vAlign w:val="center"/>
                </w:tcPr>
                <w:p w14:paraId="002D3176">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eastAsia"/>
                      <w:color w:val="auto"/>
                      <w:kern w:val="0"/>
                      <w:szCs w:val="21"/>
                      <w:highlight w:val="none"/>
                      <w:lang w:bidi="ar"/>
                    </w:rPr>
                    <w:t>25.029800</w:t>
                  </w:r>
                  <w:r>
                    <w:rPr>
                      <w:rFonts w:hint="default"/>
                      <w:color w:val="auto"/>
                      <w:kern w:val="0"/>
                      <w:szCs w:val="21"/>
                      <w:highlight w:val="none"/>
                      <w:lang w:bidi="ar"/>
                    </w:rPr>
                    <w:t>°</w:t>
                  </w:r>
                </w:p>
              </w:tc>
              <w:tc>
                <w:tcPr>
                  <w:tcW w:w="878" w:type="dxa"/>
                  <w:shd w:val="clear" w:color="auto" w:fill="auto"/>
                  <w:noWrap w:val="0"/>
                  <w:tcMar>
                    <w:top w:w="45" w:type="dxa"/>
                    <w:left w:w="75" w:type="dxa"/>
                    <w:bottom w:w="45" w:type="dxa"/>
                    <w:right w:w="75" w:type="dxa"/>
                  </w:tcMar>
                  <w:vAlign w:val="center"/>
                </w:tcPr>
                <w:p w14:paraId="06AE9514">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default"/>
                      <w:color w:val="auto"/>
                      <w:kern w:val="0"/>
                      <w:szCs w:val="21"/>
                      <w:highlight w:val="none"/>
                      <w:lang w:bidi="ar"/>
                    </w:rPr>
                    <w:t>15</w:t>
                  </w:r>
                </w:p>
              </w:tc>
              <w:tc>
                <w:tcPr>
                  <w:tcW w:w="1056" w:type="dxa"/>
                  <w:vMerge w:val="restart"/>
                  <w:shd w:val="clear" w:color="auto" w:fill="auto"/>
                  <w:noWrap w:val="0"/>
                  <w:tcMar>
                    <w:top w:w="45" w:type="dxa"/>
                    <w:left w:w="75" w:type="dxa"/>
                    <w:bottom w:w="45" w:type="dxa"/>
                    <w:right w:w="75" w:type="dxa"/>
                  </w:tcMar>
                  <w:vAlign w:val="center"/>
                </w:tcPr>
                <w:p w14:paraId="15AA13C7">
                  <w:pPr>
                    <w:keepNext w:val="0"/>
                    <w:keepLines w:val="0"/>
                    <w:widowControl/>
                    <w:suppressLineNumbers w:val="0"/>
                    <w:spacing w:before="0" w:beforeAutospacing="0" w:after="0" w:afterAutospacing="0" w:line="240" w:lineRule="auto"/>
                    <w:ind w:left="0" w:right="0"/>
                    <w:jc w:val="center"/>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0.8×1.1</w:t>
                  </w:r>
                </w:p>
              </w:tc>
              <w:tc>
                <w:tcPr>
                  <w:tcW w:w="766" w:type="dxa"/>
                  <w:vMerge w:val="restart"/>
                  <w:shd w:val="clear" w:color="auto" w:fill="auto"/>
                  <w:noWrap w:val="0"/>
                  <w:tcMar>
                    <w:top w:w="45" w:type="dxa"/>
                    <w:left w:w="75" w:type="dxa"/>
                    <w:bottom w:w="45" w:type="dxa"/>
                    <w:right w:w="75" w:type="dxa"/>
                  </w:tcMar>
                  <w:vAlign w:val="center"/>
                </w:tcPr>
                <w:p w14:paraId="1C5E3F9B">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default"/>
                      <w:color w:val="auto"/>
                      <w:kern w:val="0"/>
                      <w:szCs w:val="21"/>
                      <w:highlight w:val="none"/>
                      <w:lang w:bidi="ar"/>
                    </w:rPr>
                    <w:t>常温</w:t>
                  </w:r>
                </w:p>
              </w:tc>
              <w:tc>
                <w:tcPr>
                  <w:tcW w:w="1187" w:type="dxa"/>
                  <w:vMerge w:val="restart"/>
                  <w:shd w:val="clear" w:color="auto" w:fill="auto"/>
                  <w:noWrap w:val="0"/>
                  <w:tcMar>
                    <w:top w:w="45" w:type="dxa"/>
                    <w:left w:w="75" w:type="dxa"/>
                    <w:bottom w:w="45" w:type="dxa"/>
                    <w:right w:w="75" w:type="dxa"/>
                  </w:tcMar>
                  <w:vAlign w:val="center"/>
                </w:tcPr>
                <w:p w14:paraId="47ED5F10">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eastAsia"/>
                      <w:color w:val="auto"/>
                      <w:kern w:val="0"/>
                      <w:szCs w:val="21"/>
                      <w:highlight w:val="none"/>
                      <w:lang w:bidi="ar"/>
                    </w:rPr>
                    <w:t>《大气污染物综合排放标准》（GB16297-1996）</w:t>
                  </w:r>
                </w:p>
              </w:tc>
            </w:tr>
            <w:bookmarkEnd w:id="25"/>
            <w:tr w14:paraId="2A2E3AE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340" w:hRule="atLeast"/>
                <w:jc w:val="center"/>
              </w:trPr>
              <w:tc>
                <w:tcPr>
                  <w:tcW w:w="845" w:type="dxa"/>
                  <w:shd w:val="clear" w:color="auto" w:fill="auto"/>
                  <w:noWrap w:val="0"/>
                  <w:tcMar>
                    <w:top w:w="45" w:type="dxa"/>
                    <w:left w:w="75" w:type="dxa"/>
                    <w:bottom w:w="45" w:type="dxa"/>
                    <w:right w:w="75" w:type="dxa"/>
                  </w:tcMar>
                  <w:vAlign w:val="center"/>
                </w:tcPr>
                <w:p w14:paraId="444D9120">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bookmarkStart w:id="27" w:name="OLE_LINK37"/>
                  <w:r>
                    <w:rPr>
                      <w:rFonts w:hint="default"/>
                      <w:color w:val="auto"/>
                      <w:kern w:val="0"/>
                      <w:szCs w:val="21"/>
                      <w:highlight w:val="none"/>
                      <w:lang w:bidi="ar"/>
                    </w:rPr>
                    <w:t>DA002</w:t>
                  </w:r>
                  <w:bookmarkEnd w:id="27"/>
                </w:p>
              </w:tc>
              <w:tc>
                <w:tcPr>
                  <w:tcW w:w="1011" w:type="dxa"/>
                  <w:vMerge w:val="continue"/>
                  <w:shd w:val="clear" w:color="auto" w:fill="auto"/>
                  <w:noWrap w:val="0"/>
                  <w:tcMar>
                    <w:top w:w="45" w:type="dxa"/>
                    <w:left w:w="75" w:type="dxa"/>
                    <w:bottom w:w="45" w:type="dxa"/>
                    <w:right w:w="75" w:type="dxa"/>
                  </w:tcMar>
                  <w:vAlign w:val="center"/>
                </w:tcPr>
                <w:p w14:paraId="2CD53E72">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322" w:type="dxa"/>
                  <w:shd w:val="clear" w:color="auto" w:fill="auto"/>
                  <w:noWrap w:val="0"/>
                  <w:tcMar>
                    <w:top w:w="45" w:type="dxa"/>
                    <w:left w:w="75" w:type="dxa"/>
                    <w:bottom w:w="45" w:type="dxa"/>
                    <w:right w:w="75" w:type="dxa"/>
                  </w:tcMar>
                  <w:vAlign w:val="center"/>
                </w:tcPr>
                <w:p w14:paraId="569DB007">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r>
                    <w:rPr>
                      <w:rFonts w:hint="eastAsia"/>
                      <w:color w:val="auto"/>
                      <w:szCs w:val="21"/>
                      <w:highlight w:val="none"/>
                    </w:rPr>
                    <w:t>118.705158</w:t>
                  </w:r>
                  <w:r>
                    <w:rPr>
                      <w:rFonts w:hint="default"/>
                      <w:color w:val="auto"/>
                      <w:kern w:val="0"/>
                      <w:szCs w:val="21"/>
                      <w:highlight w:val="none"/>
                      <w:lang w:bidi="ar"/>
                    </w:rPr>
                    <w:t>°</w:t>
                  </w:r>
                </w:p>
              </w:tc>
              <w:tc>
                <w:tcPr>
                  <w:tcW w:w="1211" w:type="dxa"/>
                  <w:shd w:val="clear" w:color="auto" w:fill="auto"/>
                  <w:noWrap w:val="0"/>
                  <w:tcMar>
                    <w:top w:w="45" w:type="dxa"/>
                    <w:left w:w="75" w:type="dxa"/>
                    <w:bottom w:w="45" w:type="dxa"/>
                    <w:right w:w="75" w:type="dxa"/>
                  </w:tcMar>
                  <w:vAlign w:val="center"/>
                </w:tcPr>
                <w:p w14:paraId="331F9258">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eastAsia"/>
                      <w:color w:val="auto"/>
                      <w:kern w:val="0"/>
                      <w:szCs w:val="21"/>
                      <w:highlight w:val="none"/>
                      <w:lang w:bidi="ar"/>
                    </w:rPr>
                    <w:t>25.029818</w:t>
                  </w:r>
                  <w:r>
                    <w:rPr>
                      <w:rFonts w:hint="default"/>
                      <w:color w:val="auto"/>
                      <w:kern w:val="0"/>
                      <w:szCs w:val="21"/>
                      <w:highlight w:val="none"/>
                      <w:lang w:bidi="ar"/>
                    </w:rPr>
                    <w:t>°</w:t>
                  </w:r>
                </w:p>
              </w:tc>
              <w:tc>
                <w:tcPr>
                  <w:tcW w:w="878" w:type="dxa"/>
                  <w:shd w:val="clear" w:color="auto" w:fill="auto"/>
                  <w:noWrap w:val="0"/>
                  <w:tcMar>
                    <w:top w:w="45" w:type="dxa"/>
                    <w:left w:w="75" w:type="dxa"/>
                    <w:bottom w:w="45" w:type="dxa"/>
                    <w:right w:w="75" w:type="dxa"/>
                  </w:tcMar>
                  <w:vAlign w:val="center"/>
                </w:tcPr>
                <w:p w14:paraId="1CCC3C70">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bookmarkStart w:id="28" w:name="OLE_LINK38"/>
                  <w:r>
                    <w:rPr>
                      <w:rFonts w:hint="default"/>
                      <w:color w:val="auto"/>
                      <w:kern w:val="0"/>
                      <w:szCs w:val="21"/>
                      <w:highlight w:val="none"/>
                      <w:lang w:bidi="ar"/>
                    </w:rPr>
                    <w:t>15</w:t>
                  </w:r>
                  <w:bookmarkEnd w:id="28"/>
                </w:p>
              </w:tc>
              <w:tc>
                <w:tcPr>
                  <w:tcW w:w="1056" w:type="dxa"/>
                  <w:vMerge w:val="continue"/>
                  <w:shd w:val="clear" w:color="auto" w:fill="auto"/>
                  <w:noWrap w:val="0"/>
                  <w:tcMar>
                    <w:top w:w="45" w:type="dxa"/>
                    <w:left w:w="75" w:type="dxa"/>
                    <w:bottom w:w="45" w:type="dxa"/>
                    <w:right w:w="75" w:type="dxa"/>
                  </w:tcMar>
                  <w:vAlign w:val="center"/>
                </w:tcPr>
                <w:p w14:paraId="36861DE8">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766" w:type="dxa"/>
                  <w:vMerge w:val="continue"/>
                  <w:shd w:val="clear" w:color="auto" w:fill="auto"/>
                  <w:noWrap w:val="0"/>
                  <w:tcMar>
                    <w:top w:w="45" w:type="dxa"/>
                    <w:left w:w="75" w:type="dxa"/>
                    <w:bottom w:w="45" w:type="dxa"/>
                    <w:right w:w="75" w:type="dxa"/>
                  </w:tcMar>
                  <w:vAlign w:val="center"/>
                </w:tcPr>
                <w:p w14:paraId="2691B4FD">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187" w:type="dxa"/>
                  <w:vMerge w:val="continue"/>
                  <w:shd w:val="clear" w:color="auto" w:fill="auto"/>
                  <w:noWrap w:val="0"/>
                  <w:tcMar>
                    <w:top w:w="45" w:type="dxa"/>
                    <w:left w:w="75" w:type="dxa"/>
                    <w:bottom w:w="45" w:type="dxa"/>
                    <w:right w:w="75" w:type="dxa"/>
                  </w:tcMar>
                  <w:vAlign w:val="center"/>
                </w:tcPr>
                <w:p w14:paraId="10DA6C8B">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p>
              </w:tc>
            </w:tr>
            <w:tr w14:paraId="3092E09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340" w:hRule="atLeast"/>
                <w:jc w:val="center"/>
              </w:trPr>
              <w:tc>
                <w:tcPr>
                  <w:tcW w:w="845" w:type="dxa"/>
                  <w:shd w:val="clear" w:color="auto" w:fill="auto"/>
                  <w:noWrap w:val="0"/>
                  <w:tcMar>
                    <w:top w:w="45" w:type="dxa"/>
                    <w:left w:w="75" w:type="dxa"/>
                    <w:bottom w:w="45" w:type="dxa"/>
                    <w:right w:w="75" w:type="dxa"/>
                  </w:tcMar>
                  <w:vAlign w:val="center"/>
                </w:tcPr>
                <w:p w14:paraId="7C61A49D">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default"/>
                      <w:color w:val="auto"/>
                      <w:kern w:val="0"/>
                      <w:szCs w:val="21"/>
                      <w:highlight w:val="none"/>
                      <w:lang w:bidi="ar"/>
                    </w:rPr>
                    <w:t>DA00</w:t>
                  </w:r>
                  <w:r>
                    <w:rPr>
                      <w:rFonts w:hint="eastAsia"/>
                      <w:color w:val="auto"/>
                      <w:kern w:val="0"/>
                      <w:szCs w:val="21"/>
                      <w:highlight w:val="none"/>
                      <w:lang w:bidi="ar"/>
                    </w:rPr>
                    <w:t>3</w:t>
                  </w:r>
                </w:p>
              </w:tc>
              <w:tc>
                <w:tcPr>
                  <w:tcW w:w="1011" w:type="dxa"/>
                  <w:vMerge w:val="continue"/>
                  <w:shd w:val="clear" w:color="auto" w:fill="auto"/>
                  <w:noWrap w:val="0"/>
                  <w:tcMar>
                    <w:top w:w="45" w:type="dxa"/>
                    <w:left w:w="75" w:type="dxa"/>
                    <w:bottom w:w="45" w:type="dxa"/>
                    <w:right w:w="75" w:type="dxa"/>
                  </w:tcMar>
                  <w:vAlign w:val="center"/>
                </w:tcPr>
                <w:p w14:paraId="4F28BFC3">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322" w:type="dxa"/>
                  <w:shd w:val="clear" w:color="auto" w:fill="auto"/>
                  <w:noWrap w:val="0"/>
                  <w:tcMar>
                    <w:top w:w="45" w:type="dxa"/>
                    <w:left w:w="75" w:type="dxa"/>
                    <w:bottom w:w="45" w:type="dxa"/>
                    <w:right w:w="75" w:type="dxa"/>
                  </w:tcMar>
                  <w:vAlign w:val="center"/>
                </w:tcPr>
                <w:p w14:paraId="0C56DA49">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r>
                    <w:rPr>
                      <w:rFonts w:hint="eastAsia"/>
                      <w:color w:val="auto"/>
                      <w:szCs w:val="21"/>
                      <w:highlight w:val="none"/>
                    </w:rPr>
                    <w:t>118.705089</w:t>
                  </w:r>
                  <w:r>
                    <w:rPr>
                      <w:rFonts w:hint="default"/>
                      <w:color w:val="auto"/>
                      <w:kern w:val="0"/>
                      <w:szCs w:val="21"/>
                      <w:highlight w:val="none"/>
                      <w:lang w:bidi="ar"/>
                    </w:rPr>
                    <w:t>°</w:t>
                  </w:r>
                </w:p>
              </w:tc>
              <w:tc>
                <w:tcPr>
                  <w:tcW w:w="1211" w:type="dxa"/>
                  <w:shd w:val="clear" w:color="auto" w:fill="auto"/>
                  <w:noWrap w:val="0"/>
                  <w:tcMar>
                    <w:top w:w="45" w:type="dxa"/>
                    <w:left w:w="75" w:type="dxa"/>
                    <w:bottom w:w="45" w:type="dxa"/>
                    <w:right w:w="75" w:type="dxa"/>
                  </w:tcMar>
                  <w:vAlign w:val="center"/>
                </w:tcPr>
                <w:p w14:paraId="5828D6B0">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eastAsia"/>
                      <w:color w:val="auto"/>
                      <w:kern w:val="0"/>
                      <w:szCs w:val="21"/>
                      <w:highlight w:val="none"/>
                      <w:lang w:bidi="ar"/>
                    </w:rPr>
                    <w:t>25.029835</w:t>
                  </w:r>
                  <w:r>
                    <w:rPr>
                      <w:rFonts w:hint="default"/>
                      <w:color w:val="auto"/>
                      <w:kern w:val="0"/>
                      <w:szCs w:val="21"/>
                      <w:highlight w:val="none"/>
                      <w:lang w:bidi="ar"/>
                    </w:rPr>
                    <w:t>°</w:t>
                  </w:r>
                </w:p>
              </w:tc>
              <w:tc>
                <w:tcPr>
                  <w:tcW w:w="878" w:type="dxa"/>
                  <w:shd w:val="clear" w:color="auto" w:fill="auto"/>
                  <w:noWrap w:val="0"/>
                  <w:tcMar>
                    <w:top w:w="45" w:type="dxa"/>
                    <w:left w:w="75" w:type="dxa"/>
                    <w:bottom w:w="45" w:type="dxa"/>
                    <w:right w:w="75" w:type="dxa"/>
                  </w:tcMar>
                  <w:vAlign w:val="center"/>
                </w:tcPr>
                <w:p w14:paraId="4E8D7C4A">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default"/>
                      <w:color w:val="auto"/>
                      <w:kern w:val="0"/>
                      <w:szCs w:val="21"/>
                      <w:highlight w:val="none"/>
                      <w:lang w:bidi="ar"/>
                    </w:rPr>
                    <w:t>15</w:t>
                  </w:r>
                </w:p>
              </w:tc>
              <w:tc>
                <w:tcPr>
                  <w:tcW w:w="1056" w:type="dxa"/>
                  <w:vMerge w:val="continue"/>
                  <w:shd w:val="clear" w:color="auto" w:fill="auto"/>
                  <w:noWrap w:val="0"/>
                  <w:tcMar>
                    <w:top w:w="45" w:type="dxa"/>
                    <w:left w:w="75" w:type="dxa"/>
                    <w:bottom w:w="45" w:type="dxa"/>
                    <w:right w:w="75" w:type="dxa"/>
                  </w:tcMar>
                  <w:vAlign w:val="center"/>
                </w:tcPr>
                <w:p w14:paraId="11FBD396">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766" w:type="dxa"/>
                  <w:vMerge w:val="continue"/>
                  <w:shd w:val="clear" w:color="auto" w:fill="auto"/>
                  <w:noWrap w:val="0"/>
                  <w:tcMar>
                    <w:top w:w="45" w:type="dxa"/>
                    <w:left w:w="75" w:type="dxa"/>
                    <w:bottom w:w="45" w:type="dxa"/>
                    <w:right w:w="75" w:type="dxa"/>
                  </w:tcMar>
                  <w:vAlign w:val="center"/>
                </w:tcPr>
                <w:p w14:paraId="235C018C">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187" w:type="dxa"/>
                  <w:vMerge w:val="continue"/>
                  <w:shd w:val="clear" w:color="auto" w:fill="auto"/>
                  <w:noWrap w:val="0"/>
                  <w:tcMar>
                    <w:top w:w="45" w:type="dxa"/>
                    <w:left w:w="75" w:type="dxa"/>
                    <w:bottom w:w="45" w:type="dxa"/>
                    <w:right w:w="75" w:type="dxa"/>
                  </w:tcMar>
                  <w:vAlign w:val="center"/>
                </w:tcPr>
                <w:p w14:paraId="6F0013AE">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p>
              </w:tc>
            </w:tr>
            <w:tr w14:paraId="2819D53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340" w:hRule="atLeast"/>
                <w:jc w:val="center"/>
              </w:trPr>
              <w:tc>
                <w:tcPr>
                  <w:tcW w:w="845" w:type="dxa"/>
                  <w:shd w:val="clear" w:color="auto" w:fill="auto"/>
                  <w:noWrap w:val="0"/>
                  <w:tcMar>
                    <w:top w:w="45" w:type="dxa"/>
                    <w:left w:w="75" w:type="dxa"/>
                    <w:bottom w:w="45" w:type="dxa"/>
                    <w:right w:w="75" w:type="dxa"/>
                  </w:tcMar>
                  <w:vAlign w:val="center"/>
                </w:tcPr>
                <w:p w14:paraId="635593EF">
                  <w:pPr>
                    <w:keepNext w:val="0"/>
                    <w:keepLines w:val="0"/>
                    <w:widowControl/>
                    <w:suppressLineNumbers w:val="0"/>
                    <w:spacing w:before="0" w:beforeAutospacing="0" w:after="0" w:afterAutospacing="0" w:line="240" w:lineRule="auto"/>
                    <w:ind w:left="0" w:right="0"/>
                    <w:jc w:val="center"/>
                    <w:rPr>
                      <w:rFonts w:hint="eastAsia" w:eastAsia="宋体"/>
                      <w:color w:val="auto"/>
                      <w:kern w:val="0"/>
                      <w:szCs w:val="21"/>
                      <w:highlight w:val="none"/>
                      <w:lang w:eastAsia="zh-CN" w:bidi="ar"/>
                    </w:rPr>
                  </w:pPr>
                  <w:r>
                    <w:rPr>
                      <w:rFonts w:hint="default"/>
                      <w:color w:val="auto"/>
                      <w:kern w:val="0"/>
                      <w:szCs w:val="21"/>
                      <w:highlight w:val="none"/>
                      <w:lang w:bidi="ar"/>
                    </w:rPr>
                    <w:t>DA00</w:t>
                  </w:r>
                  <w:r>
                    <w:rPr>
                      <w:rFonts w:hint="eastAsia"/>
                      <w:color w:val="auto"/>
                      <w:kern w:val="0"/>
                      <w:szCs w:val="21"/>
                      <w:highlight w:val="none"/>
                      <w:lang w:val="en-US" w:eastAsia="zh-CN" w:bidi="ar"/>
                    </w:rPr>
                    <w:t>4</w:t>
                  </w:r>
                </w:p>
              </w:tc>
              <w:tc>
                <w:tcPr>
                  <w:tcW w:w="1011" w:type="dxa"/>
                  <w:vMerge w:val="continue"/>
                  <w:shd w:val="clear" w:color="auto" w:fill="auto"/>
                  <w:noWrap w:val="0"/>
                  <w:tcMar>
                    <w:top w:w="45" w:type="dxa"/>
                    <w:left w:w="75" w:type="dxa"/>
                    <w:bottom w:w="45" w:type="dxa"/>
                    <w:right w:w="75" w:type="dxa"/>
                  </w:tcMar>
                  <w:vAlign w:val="center"/>
                </w:tcPr>
                <w:p w14:paraId="36EF820F">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322" w:type="dxa"/>
                  <w:shd w:val="clear" w:color="auto" w:fill="auto"/>
                  <w:noWrap w:val="0"/>
                  <w:tcMar>
                    <w:top w:w="45" w:type="dxa"/>
                    <w:left w:w="75" w:type="dxa"/>
                    <w:bottom w:w="45" w:type="dxa"/>
                    <w:right w:w="75" w:type="dxa"/>
                  </w:tcMar>
                  <w:vAlign w:val="center"/>
                </w:tcPr>
                <w:p w14:paraId="5860CB2E">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r>
                    <w:rPr>
                      <w:rFonts w:hint="eastAsia"/>
                      <w:color w:val="auto"/>
                      <w:szCs w:val="21"/>
                      <w:highlight w:val="none"/>
                    </w:rPr>
                    <w:t>118.705019</w:t>
                  </w:r>
                  <w:r>
                    <w:rPr>
                      <w:rFonts w:hint="default"/>
                      <w:color w:val="auto"/>
                      <w:kern w:val="0"/>
                      <w:szCs w:val="21"/>
                      <w:highlight w:val="none"/>
                      <w:lang w:bidi="ar"/>
                    </w:rPr>
                    <w:t>°</w:t>
                  </w:r>
                </w:p>
              </w:tc>
              <w:tc>
                <w:tcPr>
                  <w:tcW w:w="1211" w:type="dxa"/>
                  <w:shd w:val="clear" w:color="auto" w:fill="auto"/>
                  <w:noWrap w:val="0"/>
                  <w:tcMar>
                    <w:top w:w="45" w:type="dxa"/>
                    <w:left w:w="75" w:type="dxa"/>
                    <w:bottom w:w="45" w:type="dxa"/>
                    <w:right w:w="75" w:type="dxa"/>
                  </w:tcMar>
                  <w:vAlign w:val="center"/>
                </w:tcPr>
                <w:p w14:paraId="29B2A622">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eastAsia"/>
                      <w:color w:val="auto"/>
                      <w:kern w:val="0"/>
                      <w:szCs w:val="21"/>
                      <w:highlight w:val="none"/>
                      <w:lang w:bidi="ar"/>
                    </w:rPr>
                    <w:t>25.029853</w:t>
                  </w:r>
                  <w:r>
                    <w:rPr>
                      <w:rFonts w:hint="default"/>
                      <w:color w:val="auto"/>
                      <w:kern w:val="0"/>
                      <w:szCs w:val="21"/>
                      <w:highlight w:val="none"/>
                      <w:lang w:bidi="ar"/>
                    </w:rPr>
                    <w:t>°</w:t>
                  </w:r>
                </w:p>
              </w:tc>
              <w:tc>
                <w:tcPr>
                  <w:tcW w:w="878" w:type="dxa"/>
                  <w:shd w:val="clear" w:color="auto" w:fill="auto"/>
                  <w:noWrap w:val="0"/>
                  <w:tcMar>
                    <w:top w:w="45" w:type="dxa"/>
                    <w:left w:w="75" w:type="dxa"/>
                    <w:bottom w:w="45" w:type="dxa"/>
                    <w:right w:w="75" w:type="dxa"/>
                  </w:tcMar>
                  <w:vAlign w:val="center"/>
                </w:tcPr>
                <w:p w14:paraId="65FFCFEB">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default"/>
                      <w:color w:val="auto"/>
                      <w:kern w:val="0"/>
                      <w:szCs w:val="21"/>
                      <w:highlight w:val="none"/>
                      <w:lang w:bidi="ar"/>
                    </w:rPr>
                    <w:t>15</w:t>
                  </w:r>
                </w:p>
              </w:tc>
              <w:tc>
                <w:tcPr>
                  <w:tcW w:w="1056" w:type="dxa"/>
                  <w:vMerge w:val="continue"/>
                  <w:shd w:val="clear" w:color="auto" w:fill="auto"/>
                  <w:noWrap w:val="0"/>
                  <w:tcMar>
                    <w:top w:w="45" w:type="dxa"/>
                    <w:left w:w="75" w:type="dxa"/>
                    <w:bottom w:w="45" w:type="dxa"/>
                    <w:right w:w="75" w:type="dxa"/>
                  </w:tcMar>
                  <w:vAlign w:val="center"/>
                </w:tcPr>
                <w:p w14:paraId="6E611DE9">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766" w:type="dxa"/>
                  <w:vMerge w:val="continue"/>
                  <w:shd w:val="clear" w:color="auto" w:fill="auto"/>
                  <w:noWrap w:val="0"/>
                  <w:tcMar>
                    <w:top w:w="45" w:type="dxa"/>
                    <w:left w:w="75" w:type="dxa"/>
                    <w:bottom w:w="45" w:type="dxa"/>
                    <w:right w:w="75" w:type="dxa"/>
                  </w:tcMar>
                  <w:vAlign w:val="center"/>
                </w:tcPr>
                <w:p w14:paraId="23D28E18">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187" w:type="dxa"/>
                  <w:vMerge w:val="continue"/>
                  <w:shd w:val="clear" w:color="auto" w:fill="auto"/>
                  <w:noWrap w:val="0"/>
                  <w:tcMar>
                    <w:top w:w="45" w:type="dxa"/>
                    <w:left w:w="75" w:type="dxa"/>
                    <w:bottom w:w="45" w:type="dxa"/>
                    <w:right w:w="75" w:type="dxa"/>
                  </w:tcMar>
                  <w:vAlign w:val="center"/>
                </w:tcPr>
                <w:p w14:paraId="2FB58BB8">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p>
              </w:tc>
            </w:tr>
            <w:tr w14:paraId="4A6618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340" w:hRule="atLeast"/>
                <w:jc w:val="center"/>
              </w:trPr>
              <w:tc>
                <w:tcPr>
                  <w:tcW w:w="845" w:type="dxa"/>
                  <w:shd w:val="clear" w:color="auto" w:fill="auto"/>
                  <w:noWrap w:val="0"/>
                  <w:tcMar>
                    <w:top w:w="45" w:type="dxa"/>
                    <w:left w:w="75" w:type="dxa"/>
                    <w:bottom w:w="45" w:type="dxa"/>
                    <w:right w:w="75" w:type="dxa"/>
                  </w:tcMar>
                  <w:vAlign w:val="center"/>
                </w:tcPr>
                <w:p w14:paraId="2AC3433B">
                  <w:pPr>
                    <w:keepNext w:val="0"/>
                    <w:keepLines w:val="0"/>
                    <w:widowControl/>
                    <w:suppressLineNumbers w:val="0"/>
                    <w:spacing w:before="0" w:beforeAutospacing="0" w:after="0" w:afterAutospacing="0" w:line="240" w:lineRule="auto"/>
                    <w:ind w:left="0" w:right="0"/>
                    <w:jc w:val="center"/>
                    <w:rPr>
                      <w:rFonts w:hint="eastAsia" w:eastAsia="宋体"/>
                      <w:color w:val="auto"/>
                      <w:kern w:val="0"/>
                      <w:szCs w:val="21"/>
                      <w:highlight w:val="none"/>
                      <w:lang w:eastAsia="zh-CN" w:bidi="ar"/>
                    </w:rPr>
                  </w:pPr>
                  <w:r>
                    <w:rPr>
                      <w:rFonts w:hint="default"/>
                      <w:color w:val="auto"/>
                      <w:kern w:val="0"/>
                      <w:szCs w:val="21"/>
                      <w:highlight w:val="none"/>
                      <w:lang w:bidi="ar"/>
                    </w:rPr>
                    <w:t>DA00</w:t>
                  </w:r>
                  <w:r>
                    <w:rPr>
                      <w:rFonts w:hint="eastAsia"/>
                      <w:color w:val="auto"/>
                      <w:kern w:val="0"/>
                      <w:szCs w:val="21"/>
                      <w:highlight w:val="none"/>
                      <w:lang w:val="en-US" w:eastAsia="zh-CN" w:bidi="ar"/>
                    </w:rPr>
                    <w:t>5</w:t>
                  </w:r>
                </w:p>
              </w:tc>
              <w:tc>
                <w:tcPr>
                  <w:tcW w:w="1011" w:type="dxa"/>
                  <w:vMerge w:val="continue"/>
                  <w:shd w:val="clear" w:color="auto" w:fill="auto"/>
                  <w:noWrap w:val="0"/>
                  <w:tcMar>
                    <w:top w:w="45" w:type="dxa"/>
                    <w:left w:w="75" w:type="dxa"/>
                    <w:bottom w:w="45" w:type="dxa"/>
                    <w:right w:w="75" w:type="dxa"/>
                  </w:tcMar>
                  <w:vAlign w:val="center"/>
                </w:tcPr>
                <w:p w14:paraId="5538F0B6">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322" w:type="dxa"/>
                  <w:shd w:val="clear" w:color="auto" w:fill="auto"/>
                  <w:noWrap w:val="0"/>
                  <w:tcMar>
                    <w:top w:w="45" w:type="dxa"/>
                    <w:left w:w="75" w:type="dxa"/>
                    <w:bottom w:w="45" w:type="dxa"/>
                    <w:right w:w="75" w:type="dxa"/>
                  </w:tcMar>
                  <w:vAlign w:val="center"/>
                </w:tcPr>
                <w:p w14:paraId="2482DF81">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r>
                    <w:rPr>
                      <w:rFonts w:hint="eastAsia"/>
                      <w:color w:val="auto"/>
                      <w:szCs w:val="21"/>
                      <w:highlight w:val="none"/>
                    </w:rPr>
                    <w:t>118.704952</w:t>
                  </w:r>
                  <w:r>
                    <w:rPr>
                      <w:rFonts w:hint="default"/>
                      <w:color w:val="auto"/>
                      <w:kern w:val="0"/>
                      <w:szCs w:val="21"/>
                      <w:highlight w:val="none"/>
                      <w:lang w:bidi="ar"/>
                    </w:rPr>
                    <w:t>°</w:t>
                  </w:r>
                </w:p>
              </w:tc>
              <w:tc>
                <w:tcPr>
                  <w:tcW w:w="1211" w:type="dxa"/>
                  <w:shd w:val="clear" w:color="auto" w:fill="auto"/>
                  <w:noWrap w:val="0"/>
                  <w:tcMar>
                    <w:top w:w="45" w:type="dxa"/>
                    <w:left w:w="75" w:type="dxa"/>
                    <w:bottom w:w="45" w:type="dxa"/>
                    <w:right w:w="75" w:type="dxa"/>
                  </w:tcMar>
                  <w:vAlign w:val="center"/>
                </w:tcPr>
                <w:p w14:paraId="3F4CBA02">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eastAsia"/>
                      <w:color w:val="auto"/>
                      <w:kern w:val="0"/>
                      <w:szCs w:val="21"/>
                      <w:highlight w:val="none"/>
                      <w:lang w:bidi="ar"/>
                    </w:rPr>
                    <w:t>25.029872</w:t>
                  </w:r>
                  <w:r>
                    <w:rPr>
                      <w:rFonts w:hint="default"/>
                      <w:color w:val="auto"/>
                      <w:kern w:val="0"/>
                      <w:szCs w:val="21"/>
                      <w:highlight w:val="none"/>
                      <w:lang w:bidi="ar"/>
                    </w:rPr>
                    <w:t>°</w:t>
                  </w:r>
                </w:p>
              </w:tc>
              <w:tc>
                <w:tcPr>
                  <w:tcW w:w="878" w:type="dxa"/>
                  <w:shd w:val="clear" w:color="auto" w:fill="auto"/>
                  <w:noWrap w:val="0"/>
                  <w:tcMar>
                    <w:top w:w="45" w:type="dxa"/>
                    <w:left w:w="75" w:type="dxa"/>
                    <w:bottom w:w="45" w:type="dxa"/>
                    <w:right w:w="75" w:type="dxa"/>
                  </w:tcMar>
                  <w:vAlign w:val="center"/>
                </w:tcPr>
                <w:p w14:paraId="092228AD">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default"/>
                      <w:color w:val="auto"/>
                      <w:kern w:val="0"/>
                      <w:szCs w:val="21"/>
                      <w:highlight w:val="none"/>
                      <w:lang w:bidi="ar"/>
                    </w:rPr>
                    <w:t>15</w:t>
                  </w:r>
                </w:p>
              </w:tc>
              <w:tc>
                <w:tcPr>
                  <w:tcW w:w="1056" w:type="dxa"/>
                  <w:vMerge w:val="continue"/>
                  <w:shd w:val="clear" w:color="auto" w:fill="auto"/>
                  <w:noWrap w:val="0"/>
                  <w:tcMar>
                    <w:top w:w="45" w:type="dxa"/>
                    <w:left w:w="75" w:type="dxa"/>
                    <w:bottom w:w="45" w:type="dxa"/>
                    <w:right w:w="75" w:type="dxa"/>
                  </w:tcMar>
                  <w:vAlign w:val="center"/>
                </w:tcPr>
                <w:p w14:paraId="020C8303">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766" w:type="dxa"/>
                  <w:vMerge w:val="continue"/>
                  <w:shd w:val="clear" w:color="auto" w:fill="auto"/>
                  <w:noWrap w:val="0"/>
                  <w:tcMar>
                    <w:top w:w="45" w:type="dxa"/>
                    <w:left w:w="75" w:type="dxa"/>
                    <w:bottom w:w="45" w:type="dxa"/>
                    <w:right w:w="75" w:type="dxa"/>
                  </w:tcMar>
                  <w:vAlign w:val="center"/>
                </w:tcPr>
                <w:p w14:paraId="7C6BE9DF">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187" w:type="dxa"/>
                  <w:vMerge w:val="continue"/>
                  <w:shd w:val="clear" w:color="auto" w:fill="auto"/>
                  <w:noWrap w:val="0"/>
                  <w:tcMar>
                    <w:top w:w="45" w:type="dxa"/>
                    <w:left w:w="75" w:type="dxa"/>
                    <w:bottom w:w="45" w:type="dxa"/>
                    <w:right w:w="75" w:type="dxa"/>
                  </w:tcMar>
                  <w:vAlign w:val="center"/>
                </w:tcPr>
                <w:p w14:paraId="44387B4E">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p>
              </w:tc>
            </w:tr>
            <w:tr w14:paraId="7BC28DB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340" w:hRule="atLeast"/>
                <w:jc w:val="center"/>
              </w:trPr>
              <w:tc>
                <w:tcPr>
                  <w:tcW w:w="845" w:type="dxa"/>
                  <w:shd w:val="clear" w:color="auto" w:fill="auto"/>
                  <w:noWrap w:val="0"/>
                  <w:tcMar>
                    <w:top w:w="45" w:type="dxa"/>
                    <w:left w:w="75" w:type="dxa"/>
                    <w:bottom w:w="45" w:type="dxa"/>
                    <w:right w:w="75" w:type="dxa"/>
                  </w:tcMar>
                  <w:vAlign w:val="center"/>
                </w:tcPr>
                <w:p w14:paraId="37921E10">
                  <w:pPr>
                    <w:keepNext w:val="0"/>
                    <w:keepLines w:val="0"/>
                    <w:widowControl/>
                    <w:suppressLineNumbers w:val="0"/>
                    <w:spacing w:before="0" w:beforeAutospacing="0" w:after="0" w:afterAutospacing="0" w:line="240" w:lineRule="auto"/>
                    <w:ind w:left="0" w:right="0"/>
                    <w:jc w:val="center"/>
                    <w:rPr>
                      <w:rFonts w:hint="eastAsia" w:eastAsia="宋体"/>
                      <w:color w:val="auto"/>
                      <w:kern w:val="0"/>
                      <w:szCs w:val="21"/>
                      <w:highlight w:val="none"/>
                      <w:lang w:eastAsia="zh-CN" w:bidi="ar"/>
                    </w:rPr>
                  </w:pPr>
                  <w:r>
                    <w:rPr>
                      <w:rFonts w:hint="default"/>
                      <w:color w:val="auto"/>
                      <w:kern w:val="0"/>
                      <w:szCs w:val="21"/>
                      <w:highlight w:val="none"/>
                      <w:lang w:bidi="ar"/>
                    </w:rPr>
                    <w:t>DA00</w:t>
                  </w:r>
                  <w:r>
                    <w:rPr>
                      <w:rFonts w:hint="eastAsia"/>
                      <w:color w:val="auto"/>
                      <w:kern w:val="0"/>
                      <w:szCs w:val="21"/>
                      <w:highlight w:val="none"/>
                      <w:lang w:val="en-US" w:eastAsia="zh-CN" w:bidi="ar"/>
                    </w:rPr>
                    <w:t>6</w:t>
                  </w:r>
                </w:p>
              </w:tc>
              <w:tc>
                <w:tcPr>
                  <w:tcW w:w="1011" w:type="dxa"/>
                  <w:vMerge w:val="continue"/>
                  <w:shd w:val="clear" w:color="auto" w:fill="auto"/>
                  <w:noWrap w:val="0"/>
                  <w:tcMar>
                    <w:top w:w="45" w:type="dxa"/>
                    <w:left w:w="75" w:type="dxa"/>
                    <w:bottom w:w="45" w:type="dxa"/>
                    <w:right w:w="75" w:type="dxa"/>
                  </w:tcMar>
                  <w:vAlign w:val="center"/>
                </w:tcPr>
                <w:p w14:paraId="64668405">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322" w:type="dxa"/>
                  <w:shd w:val="clear" w:color="auto" w:fill="auto"/>
                  <w:noWrap w:val="0"/>
                  <w:tcMar>
                    <w:top w:w="45" w:type="dxa"/>
                    <w:left w:w="75" w:type="dxa"/>
                    <w:bottom w:w="45" w:type="dxa"/>
                    <w:right w:w="75" w:type="dxa"/>
                  </w:tcMar>
                  <w:vAlign w:val="center"/>
                </w:tcPr>
                <w:p w14:paraId="371C09C6">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r>
                    <w:rPr>
                      <w:rFonts w:hint="eastAsia"/>
                      <w:color w:val="auto"/>
                      <w:szCs w:val="21"/>
                      <w:highlight w:val="none"/>
                    </w:rPr>
                    <w:t>118.704887</w:t>
                  </w:r>
                  <w:r>
                    <w:rPr>
                      <w:rFonts w:hint="default"/>
                      <w:color w:val="auto"/>
                      <w:kern w:val="0"/>
                      <w:szCs w:val="21"/>
                      <w:highlight w:val="none"/>
                      <w:lang w:bidi="ar"/>
                    </w:rPr>
                    <w:t>°</w:t>
                  </w:r>
                </w:p>
              </w:tc>
              <w:tc>
                <w:tcPr>
                  <w:tcW w:w="1211" w:type="dxa"/>
                  <w:shd w:val="clear" w:color="auto" w:fill="auto"/>
                  <w:noWrap w:val="0"/>
                  <w:tcMar>
                    <w:top w:w="45" w:type="dxa"/>
                    <w:left w:w="75" w:type="dxa"/>
                    <w:bottom w:w="45" w:type="dxa"/>
                    <w:right w:w="75" w:type="dxa"/>
                  </w:tcMar>
                  <w:vAlign w:val="center"/>
                </w:tcPr>
                <w:p w14:paraId="744C3394">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eastAsia"/>
                      <w:color w:val="auto"/>
                      <w:kern w:val="0"/>
                      <w:szCs w:val="21"/>
                      <w:highlight w:val="none"/>
                      <w:lang w:bidi="ar"/>
                    </w:rPr>
                    <w:t>25.029883</w:t>
                  </w:r>
                  <w:r>
                    <w:rPr>
                      <w:rFonts w:hint="default"/>
                      <w:color w:val="auto"/>
                      <w:kern w:val="0"/>
                      <w:szCs w:val="21"/>
                      <w:highlight w:val="none"/>
                      <w:lang w:bidi="ar"/>
                    </w:rPr>
                    <w:t>°</w:t>
                  </w:r>
                </w:p>
              </w:tc>
              <w:tc>
                <w:tcPr>
                  <w:tcW w:w="878" w:type="dxa"/>
                  <w:shd w:val="clear" w:color="auto" w:fill="auto"/>
                  <w:noWrap w:val="0"/>
                  <w:tcMar>
                    <w:top w:w="45" w:type="dxa"/>
                    <w:left w:w="75" w:type="dxa"/>
                    <w:bottom w:w="45" w:type="dxa"/>
                    <w:right w:w="75" w:type="dxa"/>
                  </w:tcMar>
                  <w:vAlign w:val="center"/>
                </w:tcPr>
                <w:p w14:paraId="38FD7AF2">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default"/>
                      <w:color w:val="auto"/>
                      <w:kern w:val="0"/>
                      <w:szCs w:val="21"/>
                      <w:highlight w:val="none"/>
                      <w:lang w:bidi="ar"/>
                    </w:rPr>
                    <w:t>15</w:t>
                  </w:r>
                </w:p>
              </w:tc>
              <w:tc>
                <w:tcPr>
                  <w:tcW w:w="1056" w:type="dxa"/>
                  <w:vMerge w:val="continue"/>
                  <w:shd w:val="clear" w:color="auto" w:fill="auto"/>
                  <w:noWrap w:val="0"/>
                  <w:tcMar>
                    <w:top w:w="45" w:type="dxa"/>
                    <w:left w:w="75" w:type="dxa"/>
                    <w:bottom w:w="45" w:type="dxa"/>
                    <w:right w:w="75" w:type="dxa"/>
                  </w:tcMar>
                  <w:vAlign w:val="center"/>
                </w:tcPr>
                <w:p w14:paraId="4BE35A6D">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766" w:type="dxa"/>
                  <w:vMerge w:val="continue"/>
                  <w:shd w:val="clear" w:color="auto" w:fill="auto"/>
                  <w:noWrap w:val="0"/>
                  <w:tcMar>
                    <w:top w:w="45" w:type="dxa"/>
                    <w:left w:w="75" w:type="dxa"/>
                    <w:bottom w:w="45" w:type="dxa"/>
                    <w:right w:w="75" w:type="dxa"/>
                  </w:tcMar>
                  <w:vAlign w:val="center"/>
                </w:tcPr>
                <w:p w14:paraId="7EA48D60">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187" w:type="dxa"/>
                  <w:vMerge w:val="continue"/>
                  <w:shd w:val="clear" w:color="auto" w:fill="auto"/>
                  <w:noWrap w:val="0"/>
                  <w:tcMar>
                    <w:top w:w="45" w:type="dxa"/>
                    <w:left w:w="75" w:type="dxa"/>
                    <w:bottom w:w="45" w:type="dxa"/>
                    <w:right w:w="75" w:type="dxa"/>
                  </w:tcMar>
                  <w:vAlign w:val="center"/>
                </w:tcPr>
                <w:p w14:paraId="43536419">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p>
              </w:tc>
            </w:tr>
            <w:tr w14:paraId="2FAA1C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340" w:hRule="atLeast"/>
                <w:jc w:val="center"/>
              </w:trPr>
              <w:tc>
                <w:tcPr>
                  <w:tcW w:w="845" w:type="dxa"/>
                  <w:shd w:val="clear" w:color="auto" w:fill="auto"/>
                  <w:noWrap w:val="0"/>
                  <w:tcMar>
                    <w:top w:w="45" w:type="dxa"/>
                    <w:left w:w="75" w:type="dxa"/>
                    <w:bottom w:w="45" w:type="dxa"/>
                    <w:right w:w="75" w:type="dxa"/>
                  </w:tcMar>
                  <w:vAlign w:val="center"/>
                </w:tcPr>
                <w:p w14:paraId="60A77534">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0"/>
                      <w:sz w:val="21"/>
                      <w:szCs w:val="21"/>
                      <w:highlight w:val="none"/>
                      <w:lang w:val="en-US" w:eastAsia="zh-CN" w:bidi="ar"/>
                    </w:rPr>
                  </w:pPr>
                  <w:r>
                    <w:rPr>
                      <w:rFonts w:hint="default"/>
                      <w:color w:val="auto"/>
                      <w:kern w:val="0"/>
                      <w:szCs w:val="21"/>
                      <w:highlight w:val="none"/>
                      <w:lang w:bidi="ar"/>
                    </w:rPr>
                    <w:t>DA00</w:t>
                  </w:r>
                  <w:r>
                    <w:rPr>
                      <w:rFonts w:hint="eastAsia"/>
                      <w:color w:val="auto"/>
                      <w:kern w:val="0"/>
                      <w:szCs w:val="21"/>
                      <w:highlight w:val="none"/>
                      <w:lang w:val="en-US" w:eastAsia="zh-CN" w:bidi="ar"/>
                    </w:rPr>
                    <w:t>7</w:t>
                  </w:r>
                </w:p>
              </w:tc>
              <w:tc>
                <w:tcPr>
                  <w:tcW w:w="1011" w:type="dxa"/>
                  <w:vMerge w:val="continue"/>
                  <w:shd w:val="clear" w:color="auto" w:fill="auto"/>
                  <w:noWrap w:val="0"/>
                  <w:tcMar>
                    <w:top w:w="45" w:type="dxa"/>
                    <w:left w:w="75" w:type="dxa"/>
                    <w:bottom w:w="45" w:type="dxa"/>
                    <w:right w:w="75" w:type="dxa"/>
                  </w:tcMar>
                  <w:vAlign w:val="center"/>
                </w:tcPr>
                <w:p w14:paraId="1DDEEE3F">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0"/>
                      <w:sz w:val="21"/>
                      <w:szCs w:val="21"/>
                      <w:highlight w:val="none"/>
                      <w:lang w:val="en-US" w:eastAsia="zh-CN" w:bidi="ar"/>
                    </w:rPr>
                  </w:pPr>
                </w:p>
              </w:tc>
              <w:tc>
                <w:tcPr>
                  <w:tcW w:w="1322" w:type="dxa"/>
                  <w:shd w:val="clear" w:color="auto" w:fill="auto"/>
                  <w:noWrap w:val="0"/>
                  <w:tcMar>
                    <w:top w:w="45" w:type="dxa"/>
                    <w:left w:w="75" w:type="dxa"/>
                    <w:bottom w:w="45" w:type="dxa"/>
                    <w:right w:w="75" w:type="dxa"/>
                  </w:tcMar>
                  <w:vAlign w:val="center"/>
                </w:tcPr>
                <w:p w14:paraId="7CDD7353">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118.704818</w:t>
                  </w:r>
                  <w:r>
                    <w:rPr>
                      <w:rFonts w:hint="default"/>
                      <w:color w:val="auto"/>
                      <w:kern w:val="0"/>
                      <w:szCs w:val="21"/>
                      <w:highlight w:val="none"/>
                      <w:lang w:bidi="ar"/>
                    </w:rPr>
                    <w:t>°</w:t>
                  </w:r>
                </w:p>
              </w:tc>
              <w:tc>
                <w:tcPr>
                  <w:tcW w:w="1211" w:type="dxa"/>
                  <w:shd w:val="clear" w:color="auto" w:fill="auto"/>
                  <w:noWrap w:val="0"/>
                  <w:tcMar>
                    <w:top w:w="45" w:type="dxa"/>
                    <w:left w:w="75" w:type="dxa"/>
                    <w:bottom w:w="45" w:type="dxa"/>
                    <w:right w:w="75" w:type="dxa"/>
                  </w:tcMar>
                  <w:vAlign w:val="center"/>
                </w:tcPr>
                <w:p w14:paraId="5D752793">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0"/>
                      <w:sz w:val="21"/>
                      <w:szCs w:val="21"/>
                      <w:highlight w:val="none"/>
                      <w:lang w:val="en-US" w:eastAsia="zh-CN" w:bidi="ar"/>
                    </w:rPr>
                  </w:pPr>
                  <w:r>
                    <w:rPr>
                      <w:rFonts w:hint="eastAsia"/>
                      <w:color w:val="auto"/>
                      <w:kern w:val="0"/>
                      <w:szCs w:val="21"/>
                      <w:highlight w:val="none"/>
                      <w:lang w:bidi="ar"/>
                    </w:rPr>
                    <w:t>25.029902</w:t>
                  </w:r>
                  <w:r>
                    <w:rPr>
                      <w:rFonts w:hint="default"/>
                      <w:color w:val="auto"/>
                      <w:kern w:val="0"/>
                      <w:szCs w:val="21"/>
                      <w:highlight w:val="none"/>
                      <w:lang w:bidi="ar"/>
                    </w:rPr>
                    <w:t>°</w:t>
                  </w:r>
                </w:p>
              </w:tc>
              <w:tc>
                <w:tcPr>
                  <w:tcW w:w="878" w:type="dxa"/>
                  <w:shd w:val="clear" w:color="auto" w:fill="auto"/>
                  <w:noWrap w:val="0"/>
                  <w:tcMar>
                    <w:top w:w="45" w:type="dxa"/>
                    <w:left w:w="75" w:type="dxa"/>
                    <w:bottom w:w="45" w:type="dxa"/>
                    <w:right w:w="75" w:type="dxa"/>
                  </w:tcMar>
                  <w:vAlign w:val="center"/>
                </w:tcPr>
                <w:p w14:paraId="14F6E66E">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0"/>
                      <w:sz w:val="21"/>
                      <w:szCs w:val="21"/>
                      <w:highlight w:val="none"/>
                      <w:lang w:val="en-US" w:eastAsia="zh-CN" w:bidi="ar"/>
                    </w:rPr>
                  </w:pPr>
                  <w:r>
                    <w:rPr>
                      <w:rFonts w:hint="default"/>
                      <w:color w:val="auto"/>
                      <w:kern w:val="0"/>
                      <w:szCs w:val="21"/>
                      <w:highlight w:val="none"/>
                      <w:lang w:bidi="ar"/>
                    </w:rPr>
                    <w:t>15</w:t>
                  </w:r>
                </w:p>
              </w:tc>
              <w:tc>
                <w:tcPr>
                  <w:tcW w:w="1056" w:type="dxa"/>
                  <w:vMerge w:val="continue"/>
                  <w:shd w:val="clear" w:color="auto" w:fill="auto"/>
                  <w:noWrap w:val="0"/>
                  <w:tcMar>
                    <w:top w:w="45" w:type="dxa"/>
                    <w:left w:w="75" w:type="dxa"/>
                    <w:bottom w:w="45" w:type="dxa"/>
                    <w:right w:w="75" w:type="dxa"/>
                  </w:tcMar>
                  <w:vAlign w:val="center"/>
                </w:tcPr>
                <w:p w14:paraId="7DF67AD4">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766" w:type="dxa"/>
                  <w:vMerge w:val="continue"/>
                  <w:shd w:val="clear" w:color="auto" w:fill="auto"/>
                  <w:noWrap w:val="0"/>
                  <w:tcMar>
                    <w:top w:w="45" w:type="dxa"/>
                    <w:left w:w="75" w:type="dxa"/>
                    <w:bottom w:w="45" w:type="dxa"/>
                    <w:right w:w="75" w:type="dxa"/>
                  </w:tcMar>
                  <w:vAlign w:val="center"/>
                </w:tcPr>
                <w:p w14:paraId="53A52F16">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187" w:type="dxa"/>
                  <w:vMerge w:val="continue"/>
                  <w:shd w:val="clear" w:color="auto" w:fill="auto"/>
                  <w:noWrap w:val="0"/>
                  <w:tcMar>
                    <w:top w:w="45" w:type="dxa"/>
                    <w:left w:w="75" w:type="dxa"/>
                    <w:bottom w:w="45" w:type="dxa"/>
                    <w:right w:w="75" w:type="dxa"/>
                  </w:tcMar>
                  <w:vAlign w:val="center"/>
                </w:tcPr>
                <w:p w14:paraId="6EE58A5F">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p>
              </w:tc>
            </w:tr>
            <w:tr w14:paraId="5D1BE9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845" w:type="dxa"/>
                  <w:shd w:val="clear" w:color="auto" w:fill="auto"/>
                  <w:noWrap w:val="0"/>
                  <w:tcMar>
                    <w:top w:w="45" w:type="dxa"/>
                    <w:left w:w="75" w:type="dxa"/>
                    <w:bottom w:w="45" w:type="dxa"/>
                    <w:right w:w="75" w:type="dxa"/>
                  </w:tcMar>
                  <w:vAlign w:val="center"/>
                </w:tcPr>
                <w:p w14:paraId="11D2D575">
                  <w:pPr>
                    <w:keepNext w:val="0"/>
                    <w:keepLines w:val="0"/>
                    <w:widowControl/>
                    <w:suppressLineNumbers w:val="0"/>
                    <w:spacing w:before="0" w:beforeAutospacing="0" w:after="0" w:afterAutospacing="0" w:line="240" w:lineRule="auto"/>
                    <w:ind w:left="0" w:right="0"/>
                    <w:jc w:val="center"/>
                    <w:rPr>
                      <w:rFonts w:hint="eastAsia" w:eastAsia="宋体"/>
                      <w:color w:val="auto"/>
                      <w:kern w:val="0"/>
                      <w:szCs w:val="21"/>
                      <w:highlight w:val="none"/>
                      <w:lang w:eastAsia="zh-CN" w:bidi="ar"/>
                    </w:rPr>
                  </w:pPr>
                  <w:r>
                    <w:rPr>
                      <w:rFonts w:hint="default"/>
                      <w:color w:val="auto"/>
                      <w:kern w:val="0"/>
                      <w:szCs w:val="21"/>
                      <w:highlight w:val="none"/>
                      <w:lang w:bidi="ar"/>
                    </w:rPr>
                    <w:t>DA00</w:t>
                  </w:r>
                  <w:r>
                    <w:rPr>
                      <w:rFonts w:hint="eastAsia"/>
                      <w:color w:val="auto"/>
                      <w:kern w:val="0"/>
                      <w:szCs w:val="21"/>
                      <w:highlight w:val="none"/>
                      <w:lang w:val="en-US" w:eastAsia="zh-CN" w:bidi="ar"/>
                    </w:rPr>
                    <w:t>8</w:t>
                  </w:r>
                </w:p>
              </w:tc>
              <w:tc>
                <w:tcPr>
                  <w:tcW w:w="1011" w:type="dxa"/>
                  <w:vMerge w:val="continue"/>
                  <w:shd w:val="clear" w:color="auto" w:fill="auto"/>
                  <w:noWrap w:val="0"/>
                  <w:tcMar>
                    <w:top w:w="45" w:type="dxa"/>
                    <w:left w:w="75" w:type="dxa"/>
                    <w:bottom w:w="45" w:type="dxa"/>
                    <w:right w:w="75" w:type="dxa"/>
                  </w:tcMar>
                  <w:vAlign w:val="center"/>
                </w:tcPr>
                <w:p w14:paraId="689838FE">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322" w:type="dxa"/>
                  <w:shd w:val="clear" w:color="auto" w:fill="auto"/>
                  <w:noWrap w:val="0"/>
                  <w:tcMar>
                    <w:top w:w="45" w:type="dxa"/>
                    <w:left w:w="75" w:type="dxa"/>
                    <w:bottom w:w="45" w:type="dxa"/>
                    <w:right w:w="75" w:type="dxa"/>
                  </w:tcMar>
                  <w:vAlign w:val="center"/>
                </w:tcPr>
                <w:p w14:paraId="0B017B4B">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r>
                    <w:rPr>
                      <w:rFonts w:hint="default"/>
                      <w:color w:val="auto"/>
                      <w:kern w:val="0"/>
                      <w:szCs w:val="21"/>
                      <w:highlight w:val="none"/>
                      <w:lang w:bidi="ar"/>
                    </w:rPr>
                    <w:t>118.704755°</w:t>
                  </w:r>
                </w:p>
              </w:tc>
              <w:tc>
                <w:tcPr>
                  <w:tcW w:w="1211" w:type="dxa"/>
                  <w:shd w:val="clear" w:color="auto" w:fill="auto"/>
                  <w:noWrap w:val="0"/>
                  <w:tcMar>
                    <w:top w:w="45" w:type="dxa"/>
                    <w:left w:w="75" w:type="dxa"/>
                    <w:bottom w:w="45" w:type="dxa"/>
                    <w:right w:w="75" w:type="dxa"/>
                  </w:tcMar>
                  <w:vAlign w:val="center"/>
                </w:tcPr>
                <w:p w14:paraId="6DADF332">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default"/>
                      <w:color w:val="auto"/>
                      <w:kern w:val="0"/>
                      <w:szCs w:val="21"/>
                      <w:highlight w:val="none"/>
                      <w:lang w:bidi="ar"/>
                    </w:rPr>
                    <w:t>25.029916°</w:t>
                  </w:r>
                </w:p>
              </w:tc>
              <w:tc>
                <w:tcPr>
                  <w:tcW w:w="878" w:type="dxa"/>
                  <w:shd w:val="clear" w:color="auto" w:fill="auto"/>
                  <w:noWrap w:val="0"/>
                  <w:tcMar>
                    <w:top w:w="45" w:type="dxa"/>
                    <w:left w:w="75" w:type="dxa"/>
                    <w:bottom w:w="45" w:type="dxa"/>
                    <w:right w:w="75" w:type="dxa"/>
                  </w:tcMar>
                  <w:vAlign w:val="center"/>
                </w:tcPr>
                <w:p w14:paraId="4AC6C652">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r>
                    <w:rPr>
                      <w:rFonts w:hint="default"/>
                      <w:color w:val="auto"/>
                      <w:kern w:val="0"/>
                      <w:szCs w:val="21"/>
                      <w:highlight w:val="none"/>
                      <w:lang w:bidi="ar"/>
                    </w:rPr>
                    <w:t>15</w:t>
                  </w:r>
                </w:p>
              </w:tc>
              <w:tc>
                <w:tcPr>
                  <w:tcW w:w="1056" w:type="dxa"/>
                  <w:vMerge w:val="continue"/>
                  <w:shd w:val="clear" w:color="auto" w:fill="auto"/>
                  <w:noWrap w:val="0"/>
                  <w:tcMar>
                    <w:top w:w="45" w:type="dxa"/>
                    <w:left w:w="75" w:type="dxa"/>
                    <w:bottom w:w="45" w:type="dxa"/>
                    <w:right w:w="75" w:type="dxa"/>
                  </w:tcMar>
                  <w:vAlign w:val="center"/>
                </w:tcPr>
                <w:p w14:paraId="3396D1FE">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766" w:type="dxa"/>
                  <w:vMerge w:val="continue"/>
                  <w:shd w:val="clear" w:color="auto" w:fill="auto"/>
                  <w:noWrap w:val="0"/>
                  <w:tcMar>
                    <w:top w:w="45" w:type="dxa"/>
                    <w:left w:w="75" w:type="dxa"/>
                    <w:bottom w:w="45" w:type="dxa"/>
                    <w:right w:w="75" w:type="dxa"/>
                  </w:tcMar>
                  <w:vAlign w:val="center"/>
                </w:tcPr>
                <w:p w14:paraId="74F38E2B">
                  <w:pPr>
                    <w:keepNext w:val="0"/>
                    <w:keepLines w:val="0"/>
                    <w:widowControl/>
                    <w:suppressLineNumbers w:val="0"/>
                    <w:spacing w:before="0" w:beforeAutospacing="0" w:after="0" w:afterAutospacing="0" w:line="240" w:lineRule="auto"/>
                    <w:ind w:left="0" w:right="0"/>
                    <w:jc w:val="center"/>
                    <w:rPr>
                      <w:rFonts w:hint="default"/>
                      <w:color w:val="auto"/>
                      <w:kern w:val="0"/>
                      <w:szCs w:val="21"/>
                      <w:highlight w:val="none"/>
                      <w:lang w:bidi="ar"/>
                    </w:rPr>
                  </w:pPr>
                </w:p>
              </w:tc>
              <w:tc>
                <w:tcPr>
                  <w:tcW w:w="1187" w:type="dxa"/>
                  <w:vMerge w:val="continue"/>
                  <w:shd w:val="clear" w:color="auto" w:fill="auto"/>
                  <w:noWrap w:val="0"/>
                  <w:tcMar>
                    <w:top w:w="45" w:type="dxa"/>
                    <w:left w:w="75" w:type="dxa"/>
                    <w:bottom w:w="45" w:type="dxa"/>
                    <w:right w:w="75" w:type="dxa"/>
                  </w:tcMar>
                  <w:vAlign w:val="center"/>
                </w:tcPr>
                <w:p w14:paraId="2FEE0221">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p>
              </w:tc>
            </w:tr>
          </w:tbl>
          <w:p w14:paraId="14E7E546">
            <w:pPr>
              <w:keepNext w:val="0"/>
              <w:keepLines w:val="0"/>
              <w:suppressLineNumbers w:val="0"/>
              <w:spacing w:before="120" w:beforeLines="50" w:beforeAutospacing="0" w:after="0" w:afterAutospacing="0"/>
              <w:ind w:left="0" w:right="0"/>
              <w:rPr>
                <w:rFonts w:hint="default"/>
                <w:b/>
                <w:bCs/>
                <w:color w:val="auto"/>
                <w:szCs w:val="21"/>
                <w:highlight w:val="none"/>
              </w:rPr>
            </w:pPr>
            <w:r>
              <w:rPr>
                <w:rFonts w:hint="default"/>
                <w:b/>
                <w:bCs/>
                <w:color w:val="auto"/>
                <w:szCs w:val="21"/>
                <w:highlight w:val="none"/>
              </w:rPr>
              <w:t>4.</w:t>
            </w:r>
            <w:r>
              <w:rPr>
                <w:rFonts w:hint="eastAsia"/>
                <w:b/>
                <w:bCs/>
                <w:color w:val="auto"/>
                <w:szCs w:val="21"/>
                <w:highlight w:val="none"/>
              </w:rPr>
              <w:t>2</w:t>
            </w:r>
            <w:r>
              <w:rPr>
                <w:rFonts w:hint="default"/>
                <w:b/>
                <w:bCs/>
                <w:color w:val="auto"/>
                <w:szCs w:val="21"/>
                <w:highlight w:val="none"/>
              </w:rPr>
              <w:t>.</w:t>
            </w:r>
            <w:r>
              <w:rPr>
                <w:rFonts w:hint="eastAsia"/>
                <w:b/>
                <w:bCs/>
                <w:color w:val="auto"/>
                <w:szCs w:val="21"/>
                <w:highlight w:val="none"/>
              </w:rPr>
              <w:t>3废气污染物防治措施可行性分析</w:t>
            </w:r>
          </w:p>
          <w:p w14:paraId="03D67E6C">
            <w:pPr>
              <w:pStyle w:val="24"/>
              <w:keepNext w:val="0"/>
              <w:keepLines w:val="0"/>
              <w:suppressLineNumbers w:val="0"/>
              <w:snapToGrid/>
              <w:spacing w:before="0" w:beforeAutospacing="0" w:after="0"/>
              <w:ind w:left="480" w:right="0"/>
              <w:jc w:val="both"/>
              <w:rPr>
                <w:rFonts w:hint="default"/>
                <w:b/>
                <w:bCs/>
                <w:color w:val="auto"/>
                <w:sz w:val="21"/>
                <w:szCs w:val="21"/>
                <w:highlight w:val="none"/>
              </w:rPr>
            </w:pPr>
            <w:r>
              <w:rPr>
                <w:rFonts w:hint="eastAsia"/>
                <w:b/>
                <w:bCs/>
                <w:color w:val="auto"/>
                <w:sz w:val="21"/>
                <w:szCs w:val="21"/>
                <w:highlight w:val="none"/>
              </w:rPr>
              <w:t>（1）</w:t>
            </w:r>
            <w:r>
              <w:rPr>
                <w:rFonts w:hint="default"/>
                <w:b/>
                <w:bCs/>
                <w:color w:val="auto"/>
                <w:sz w:val="21"/>
                <w:szCs w:val="21"/>
                <w:highlight w:val="none"/>
              </w:rPr>
              <w:t>可行技术判定</w:t>
            </w:r>
          </w:p>
          <w:p w14:paraId="14579140">
            <w:pPr>
              <w:keepNext w:val="0"/>
              <w:keepLines w:val="0"/>
              <w:suppressLineNumbers w:val="0"/>
              <w:spacing w:before="0" w:beforeAutospacing="0" w:after="0" w:afterAutospacing="0"/>
              <w:ind w:left="0" w:right="0" w:firstLine="480"/>
              <w:rPr>
                <w:rFonts w:hint="default"/>
                <w:b/>
                <w:bCs/>
                <w:color w:val="auto"/>
                <w:highlight w:val="none"/>
              </w:rPr>
            </w:pPr>
            <w:r>
              <w:rPr>
                <w:rFonts w:hint="default"/>
                <w:color w:val="auto"/>
                <w:szCs w:val="21"/>
                <w:highlight w:val="none"/>
              </w:rPr>
              <w:t>本项目</w:t>
            </w:r>
            <w:r>
              <w:rPr>
                <w:rFonts w:hint="eastAsia"/>
                <w:color w:val="auto"/>
                <w:szCs w:val="21"/>
                <w:highlight w:val="none"/>
              </w:rPr>
              <w:t>属于</w:t>
            </w:r>
            <w:r>
              <w:rPr>
                <w:rFonts w:hint="eastAsia"/>
                <w:color w:val="auto"/>
                <w:szCs w:val="21"/>
                <w:highlight w:val="none"/>
                <w:lang w:val="en-US" w:eastAsia="zh-CN"/>
              </w:rPr>
              <w:t>卫生巾、护垫、经期裤</w:t>
            </w:r>
            <w:r>
              <w:rPr>
                <w:rFonts w:hint="eastAsia"/>
                <w:color w:val="auto"/>
                <w:szCs w:val="21"/>
                <w:highlight w:val="none"/>
              </w:rPr>
              <w:t>生产</w:t>
            </w:r>
            <w:r>
              <w:rPr>
                <w:rFonts w:hint="default"/>
                <w:color w:val="auto"/>
                <w:szCs w:val="21"/>
                <w:highlight w:val="none"/>
              </w:rPr>
              <w:t>，</w:t>
            </w:r>
            <w:r>
              <w:rPr>
                <w:rFonts w:hint="eastAsia"/>
                <w:color w:val="auto"/>
                <w:szCs w:val="21"/>
                <w:highlight w:val="none"/>
              </w:rPr>
              <w:t>对照《固定污染源排污许可分类管理名录》（2019年版），该项目属于</w:t>
            </w:r>
            <w:r>
              <w:rPr>
                <w:rFonts w:hint="eastAsia"/>
                <w:color w:val="auto"/>
                <w:szCs w:val="21"/>
                <w:highlight w:val="none"/>
                <w:lang w:val="en-US" w:eastAsia="zh-CN"/>
              </w:rPr>
              <w:t>简化管理</w:t>
            </w:r>
            <w:r>
              <w:rPr>
                <w:rFonts w:hint="eastAsia"/>
                <w:color w:val="auto"/>
                <w:szCs w:val="21"/>
                <w:highlight w:val="none"/>
              </w:rPr>
              <w:t>，废气治理措施可行技术参考《排污许可证申报技术指南-总则》（HJ942—2018）。项目废气</w:t>
            </w:r>
            <w:r>
              <w:rPr>
                <w:rFonts w:hint="default"/>
                <w:color w:val="auto"/>
                <w:szCs w:val="21"/>
                <w:highlight w:val="none"/>
              </w:rPr>
              <w:t>污染治理设施</w:t>
            </w:r>
            <w:r>
              <w:rPr>
                <w:rFonts w:hint="eastAsia"/>
                <w:color w:val="auto"/>
                <w:szCs w:val="21"/>
                <w:highlight w:val="none"/>
              </w:rPr>
              <w:t>采用“</w:t>
            </w:r>
            <w:r>
              <w:rPr>
                <w:rFonts w:hint="eastAsia"/>
                <w:color w:val="auto"/>
                <w:szCs w:val="21"/>
                <w:highlight w:val="none"/>
                <w:lang w:val="en-US" w:eastAsia="zh-CN"/>
              </w:rPr>
              <w:t>脉冲布袋除尘器</w:t>
            </w:r>
            <w:r>
              <w:rPr>
                <w:rFonts w:hint="eastAsia"/>
                <w:color w:val="auto"/>
                <w:szCs w:val="21"/>
                <w:highlight w:val="none"/>
              </w:rPr>
              <w:t>”，本项目主要废气污染物为</w:t>
            </w:r>
            <w:r>
              <w:rPr>
                <w:rFonts w:hint="eastAsia"/>
                <w:color w:val="auto"/>
                <w:szCs w:val="21"/>
                <w:highlight w:val="none"/>
                <w:lang w:val="en-US" w:eastAsia="zh-CN"/>
              </w:rPr>
              <w:t>颗粒物</w:t>
            </w:r>
            <w:r>
              <w:rPr>
                <w:rFonts w:hint="eastAsia"/>
                <w:color w:val="auto"/>
                <w:szCs w:val="21"/>
                <w:highlight w:val="none"/>
              </w:rPr>
              <w:t>，故该废气治理措施为可行技术。</w:t>
            </w:r>
          </w:p>
          <w:p w14:paraId="3D0436B5">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rPr>
            </w:pPr>
            <w:r>
              <w:rPr>
                <w:rFonts w:hint="default"/>
                <w:b/>
                <w:bCs/>
                <w:color w:val="auto"/>
                <w:sz w:val="21"/>
                <w:szCs w:val="21"/>
                <w:highlight w:val="none"/>
              </w:rPr>
              <w:t>表4-</w:t>
            </w:r>
            <w:r>
              <w:rPr>
                <w:rFonts w:hint="eastAsia"/>
                <w:b/>
                <w:bCs/>
                <w:color w:val="auto"/>
                <w:sz w:val="21"/>
                <w:szCs w:val="21"/>
                <w:highlight w:val="none"/>
              </w:rPr>
              <w:t>1</w:t>
            </w:r>
            <w:r>
              <w:rPr>
                <w:rFonts w:hint="eastAsia"/>
                <w:b/>
                <w:bCs/>
                <w:color w:val="auto"/>
                <w:sz w:val="21"/>
                <w:szCs w:val="21"/>
                <w:highlight w:val="none"/>
                <w:lang w:val="en-US" w:eastAsia="zh-CN"/>
              </w:rPr>
              <w:t>4</w:t>
            </w:r>
            <w:r>
              <w:rPr>
                <w:rFonts w:hint="default"/>
                <w:b/>
                <w:bCs/>
                <w:color w:val="auto"/>
                <w:sz w:val="21"/>
                <w:szCs w:val="21"/>
                <w:highlight w:val="none"/>
              </w:rPr>
              <w:t xml:space="preserve">  项目废气</w:t>
            </w:r>
            <w:r>
              <w:rPr>
                <w:rFonts w:hint="eastAsia"/>
                <w:b/>
                <w:bCs/>
                <w:color w:val="auto"/>
                <w:sz w:val="21"/>
                <w:szCs w:val="21"/>
                <w:highlight w:val="none"/>
              </w:rPr>
              <w:t>产污节点、污染物及污染治理设施</w:t>
            </w:r>
            <w:r>
              <w:rPr>
                <w:rFonts w:hint="default"/>
                <w:b/>
                <w:bCs/>
                <w:color w:val="auto"/>
                <w:sz w:val="21"/>
                <w:szCs w:val="21"/>
                <w:highlight w:val="none"/>
              </w:rPr>
              <w:t>一览表</w:t>
            </w:r>
          </w:p>
          <w:tbl>
            <w:tblPr>
              <w:tblStyle w:val="20"/>
              <w:tblW w:w="0" w:type="auto"/>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Layout w:type="fixed"/>
              <w:tblCellMar>
                <w:top w:w="15" w:type="dxa"/>
                <w:left w:w="15" w:type="dxa"/>
                <w:bottom w:w="15" w:type="dxa"/>
                <w:right w:w="15" w:type="dxa"/>
              </w:tblCellMar>
            </w:tblPr>
            <w:tblGrid>
              <w:gridCol w:w="870"/>
              <w:gridCol w:w="739"/>
              <w:gridCol w:w="1090"/>
              <w:gridCol w:w="906"/>
              <w:gridCol w:w="1031"/>
              <w:gridCol w:w="807"/>
              <w:gridCol w:w="887"/>
              <w:gridCol w:w="978"/>
              <w:gridCol w:w="830"/>
            </w:tblGrid>
            <w:tr w14:paraId="7DC00FD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CellMar>
                  <w:top w:w="15" w:type="dxa"/>
                  <w:left w:w="15" w:type="dxa"/>
                  <w:bottom w:w="15" w:type="dxa"/>
                  <w:right w:w="15" w:type="dxa"/>
                </w:tblCellMar>
              </w:tblPrEx>
              <w:trPr>
                <w:trHeight w:val="285" w:hRule="atLeast"/>
                <w:jc w:val="center"/>
              </w:trPr>
              <w:tc>
                <w:tcPr>
                  <w:tcW w:w="870" w:type="dxa"/>
                  <w:vMerge w:val="restart"/>
                  <w:shd w:val="clear" w:color="auto" w:fill="auto"/>
                  <w:noWrap w:val="0"/>
                  <w:tcMar>
                    <w:top w:w="45" w:type="dxa"/>
                    <w:left w:w="75" w:type="dxa"/>
                    <w:bottom w:w="45" w:type="dxa"/>
                    <w:right w:w="75" w:type="dxa"/>
                  </w:tcMar>
                  <w:vAlign w:val="center"/>
                </w:tcPr>
                <w:p w14:paraId="7497EE69">
                  <w:pPr>
                    <w:keepNext w:val="0"/>
                    <w:keepLines w:val="0"/>
                    <w:widowControl/>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kern w:val="0"/>
                      <w:szCs w:val="21"/>
                      <w:highlight w:val="none"/>
                      <w:lang w:bidi="ar"/>
                    </w:rPr>
                    <w:t>对应产污环节名称</w:t>
                  </w:r>
                </w:p>
              </w:tc>
              <w:tc>
                <w:tcPr>
                  <w:tcW w:w="739" w:type="dxa"/>
                  <w:vMerge w:val="restart"/>
                  <w:shd w:val="clear" w:color="auto" w:fill="auto"/>
                  <w:noWrap w:val="0"/>
                  <w:tcMar>
                    <w:top w:w="45" w:type="dxa"/>
                    <w:left w:w="75" w:type="dxa"/>
                    <w:bottom w:w="45" w:type="dxa"/>
                    <w:right w:w="75" w:type="dxa"/>
                  </w:tcMar>
                  <w:vAlign w:val="center"/>
                </w:tcPr>
                <w:p w14:paraId="5FECAD1B">
                  <w:pPr>
                    <w:keepNext w:val="0"/>
                    <w:keepLines w:val="0"/>
                    <w:widowControl/>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kern w:val="0"/>
                      <w:szCs w:val="21"/>
                      <w:highlight w:val="none"/>
                      <w:lang w:bidi="ar"/>
                    </w:rPr>
                    <w:t>污染物种类</w:t>
                  </w:r>
                </w:p>
              </w:tc>
              <w:tc>
                <w:tcPr>
                  <w:tcW w:w="1090" w:type="dxa"/>
                  <w:vMerge w:val="restart"/>
                  <w:shd w:val="clear" w:color="auto" w:fill="auto"/>
                  <w:noWrap w:val="0"/>
                  <w:tcMar>
                    <w:top w:w="45" w:type="dxa"/>
                    <w:left w:w="75" w:type="dxa"/>
                    <w:bottom w:w="45" w:type="dxa"/>
                    <w:right w:w="75" w:type="dxa"/>
                  </w:tcMar>
                  <w:vAlign w:val="center"/>
                </w:tcPr>
                <w:p w14:paraId="67312072">
                  <w:pPr>
                    <w:keepNext w:val="0"/>
                    <w:keepLines w:val="0"/>
                    <w:widowControl/>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kern w:val="0"/>
                      <w:szCs w:val="21"/>
                      <w:highlight w:val="none"/>
                      <w:lang w:bidi="ar"/>
                    </w:rPr>
                    <w:t>排放形式</w:t>
                  </w:r>
                </w:p>
              </w:tc>
              <w:tc>
                <w:tcPr>
                  <w:tcW w:w="4609" w:type="dxa"/>
                  <w:gridSpan w:val="5"/>
                  <w:shd w:val="clear" w:color="auto" w:fill="auto"/>
                  <w:noWrap w:val="0"/>
                  <w:tcMar>
                    <w:top w:w="45" w:type="dxa"/>
                    <w:left w:w="75" w:type="dxa"/>
                    <w:bottom w:w="45" w:type="dxa"/>
                    <w:right w:w="75" w:type="dxa"/>
                  </w:tcMar>
                  <w:vAlign w:val="center"/>
                </w:tcPr>
                <w:p w14:paraId="4465E36B">
                  <w:pPr>
                    <w:keepNext w:val="0"/>
                    <w:keepLines w:val="0"/>
                    <w:widowControl/>
                    <w:suppressLineNumbers w:val="0"/>
                    <w:spacing w:before="0" w:beforeAutospacing="0" w:after="0" w:afterAutospacing="0" w:line="240" w:lineRule="auto"/>
                    <w:ind w:left="0" w:right="0"/>
                    <w:jc w:val="center"/>
                    <w:rPr>
                      <w:rFonts w:hint="default"/>
                      <w:b/>
                      <w:bCs/>
                      <w:color w:val="auto"/>
                      <w:kern w:val="0"/>
                      <w:szCs w:val="21"/>
                      <w:highlight w:val="none"/>
                      <w:lang w:bidi="ar"/>
                    </w:rPr>
                  </w:pPr>
                  <w:r>
                    <w:rPr>
                      <w:rFonts w:hint="default"/>
                      <w:b/>
                      <w:bCs/>
                      <w:color w:val="auto"/>
                      <w:kern w:val="0"/>
                      <w:szCs w:val="21"/>
                      <w:highlight w:val="none"/>
                      <w:lang w:bidi="ar"/>
                    </w:rPr>
                    <w:t>污染治理设施</w:t>
                  </w:r>
                </w:p>
              </w:tc>
              <w:tc>
                <w:tcPr>
                  <w:tcW w:w="830" w:type="dxa"/>
                  <w:vMerge w:val="restart"/>
                  <w:shd w:val="clear" w:color="auto" w:fill="auto"/>
                  <w:noWrap w:val="0"/>
                  <w:tcMar>
                    <w:top w:w="45" w:type="dxa"/>
                    <w:left w:w="75" w:type="dxa"/>
                    <w:bottom w:w="45" w:type="dxa"/>
                    <w:right w:w="75" w:type="dxa"/>
                  </w:tcMar>
                  <w:vAlign w:val="center"/>
                </w:tcPr>
                <w:p w14:paraId="4C1B7D22">
                  <w:pPr>
                    <w:keepNext w:val="0"/>
                    <w:keepLines w:val="0"/>
                    <w:widowControl/>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kern w:val="0"/>
                      <w:szCs w:val="21"/>
                      <w:highlight w:val="none"/>
                      <w:lang w:bidi="ar"/>
                    </w:rPr>
                    <w:t>有组织排放口编号</w:t>
                  </w:r>
                </w:p>
              </w:tc>
            </w:tr>
            <w:tr w14:paraId="4170987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CellMar>
                  <w:top w:w="15" w:type="dxa"/>
                  <w:left w:w="15" w:type="dxa"/>
                  <w:bottom w:w="15" w:type="dxa"/>
                  <w:right w:w="15" w:type="dxa"/>
                </w:tblCellMar>
              </w:tblPrEx>
              <w:trPr>
                <w:trHeight w:val="340" w:hRule="atLeast"/>
                <w:jc w:val="center"/>
              </w:trPr>
              <w:tc>
                <w:tcPr>
                  <w:tcW w:w="870" w:type="dxa"/>
                  <w:vMerge w:val="continue"/>
                  <w:shd w:val="clear" w:color="auto" w:fill="auto"/>
                  <w:noWrap w:val="0"/>
                  <w:tcMar>
                    <w:top w:w="45" w:type="dxa"/>
                    <w:left w:w="75" w:type="dxa"/>
                    <w:bottom w:w="45" w:type="dxa"/>
                    <w:right w:w="75" w:type="dxa"/>
                  </w:tcMar>
                  <w:vAlign w:val="center"/>
                </w:tcPr>
                <w:p w14:paraId="0699CF81">
                  <w:pPr>
                    <w:keepNext w:val="0"/>
                    <w:keepLines w:val="0"/>
                    <w:suppressLineNumbers w:val="0"/>
                    <w:spacing w:before="0" w:beforeAutospacing="0" w:after="0" w:afterAutospacing="0" w:line="240" w:lineRule="auto"/>
                    <w:ind w:left="0" w:right="0"/>
                    <w:jc w:val="center"/>
                    <w:rPr>
                      <w:rFonts w:hint="default"/>
                      <w:color w:val="auto"/>
                      <w:szCs w:val="21"/>
                      <w:highlight w:val="none"/>
                    </w:rPr>
                  </w:pPr>
                </w:p>
              </w:tc>
              <w:tc>
                <w:tcPr>
                  <w:tcW w:w="739" w:type="dxa"/>
                  <w:vMerge w:val="continue"/>
                  <w:shd w:val="clear" w:color="auto" w:fill="auto"/>
                  <w:noWrap w:val="0"/>
                  <w:tcMar>
                    <w:top w:w="45" w:type="dxa"/>
                    <w:left w:w="75" w:type="dxa"/>
                    <w:bottom w:w="45" w:type="dxa"/>
                    <w:right w:w="75" w:type="dxa"/>
                  </w:tcMar>
                  <w:vAlign w:val="center"/>
                </w:tcPr>
                <w:p w14:paraId="117AED28">
                  <w:pPr>
                    <w:keepNext w:val="0"/>
                    <w:keepLines w:val="0"/>
                    <w:suppressLineNumbers w:val="0"/>
                    <w:spacing w:before="0" w:beforeAutospacing="0" w:after="0" w:afterAutospacing="0" w:line="240" w:lineRule="auto"/>
                    <w:ind w:left="0" w:right="0"/>
                    <w:jc w:val="center"/>
                    <w:rPr>
                      <w:rFonts w:hint="default"/>
                      <w:color w:val="auto"/>
                      <w:szCs w:val="21"/>
                      <w:highlight w:val="none"/>
                    </w:rPr>
                  </w:pPr>
                </w:p>
              </w:tc>
              <w:tc>
                <w:tcPr>
                  <w:tcW w:w="1090" w:type="dxa"/>
                  <w:vMerge w:val="continue"/>
                  <w:shd w:val="clear" w:color="auto" w:fill="auto"/>
                  <w:noWrap w:val="0"/>
                  <w:tcMar>
                    <w:top w:w="45" w:type="dxa"/>
                    <w:left w:w="75" w:type="dxa"/>
                    <w:bottom w:w="45" w:type="dxa"/>
                    <w:right w:w="75" w:type="dxa"/>
                  </w:tcMar>
                  <w:vAlign w:val="center"/>
                </w:tcPr>
                <w:p w14:paraId="41BAAC5C">
                  <w:pPr>
                    <w:keepNext w:val="0"/>
                    <w:keepLines w:val="0"/>
                    <w:suppressLineNumbers w:val="0"/>
                    <w:spacing w:before="0" w:beforeAutospacing="0" w:after="0" w:afterAutospacing="0" w:line="240" w:lineRule="auto"/>
                    <w:ind w:left="0" w:right="0"/>
                    <w:jc w:val="center"/>
                    <w:rPr>
                      <w:rFonts w:hint="default"/>
                      <w:color w:val="auto"/>
                      <w:szCs w:val="21"/>
                      <w:highlight w:val="none"/>
                    </w:rPr>
                  </w:pPr>
                </w:p>
              </w:tc>
              <w:tc>
                <w:tcPr>
                  <w:tcW w:w="906" w:type="dxa"/>
                  <w:shd w:val="clear" w:color="auto" w:fill="auto"/>
                  <w:noWrap w:val="0"/>
                  <w:tcMar>
                    <w:top w:w="45" w:type="dxa"/>
                    <w:left w:w="75" w:type="dxa"/>
                    <w:bottom w:w="45" w:type="dxa"/>
                    <w:right w:w="75" w:type="dxa"/>
                  </w:tcMar>
                  <w:vAlign w:val="center"/>
                </w:tcPr>
                <w:p w14:paraId="5647586A">
                  <w:pPr>
                    <w:keepNext w:val="0"/>
                    <w:keepLines w:val="0"/>
                    <w:widowControl/>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kern w:val="0"/>
                      <w:szCs w:val="21"/>
                      <w:highlight w:val="none"/>
                      <w:lang w:bidi="ar"/>
                    </w:rPr>
                    <w:t>污染防治设施编号</w:t>
                  </w:r>
                </w:p>
              </w:tc>
              <w:tc>
                <w:tcPr>
                  <w:tcW w:w="1031" w:type="dxa"/>
                  <w:shd w:val="clear" w:color="auto" w:fill="auto"/>
                  <w:noWrap w:val="0"/>
                  <w:tcMar>
                    <w:top w:w="45" w:type="dxa"/>
                    <w:left w:w="75" w:type="dxa"/>
                    <w:bottom w:w="45" w:type="dxa"/>
                    <w:right w:w="75" w:type="dxa"/>
                  </w:tcMar>
                  <w:vAlign w:val="center"/>
                </w:tcPr>
                <w:p w14:paraId="692D134C">
                  <w:pPr>
                    <w:keepNext w:val="0"/>
                    <w:keepLines w:val="0"/>
                    <w:widowControl/>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kern w:val="0"/>
                      <w:szCs w:val="21"/>
                      <w:highlight w:val="none"/>
                      <w:lang w:bidi="ar"/>
                    </w:rPr>
                    <w:t>污染治理设施工艺</w:t>
                  </w:r>
                </w:p>
              </w:tc>
              <w:tc>
                <w:tcPr>
                  <w:tcW w:w="807" w:type="dxa"/>
                  <w:shd w:val="clear" w:color="auto" w:fill="auto"/>
                  <w:noWrap w:val="0"/>
                  <w:tcMar>
                    <w:top w:w="45" w:type="dxa"/>
                    <w:left w:w="75" w:type="dxa"/>
                    <w:bottom w:w="45" w:type="dxa"/>
                    <w:right w:w="75" w:type="dxa"/>
                  </w:tcMar>
                  <w:vAlign w:val="center"/>
                </w:tcPr>
                <w:p w14:paraId="0A09FEDE">
                  <w:pPr>
                    <w:keepNext w:val="0"/>
                    <w:keepLines w:val="0"/>
                    <w:widowControl/>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kern w:val="0"/>
                      <w:szCs w:val="21"/>
                      <w:highlight w:val="none"/>
                      <w:lang w:bidi="ar"/>
                    </w:rPr>
                    <w:t>是否为可行技术</w:t>
                  </w:r>
                </w:p>
              </w:tc>
              <w:tc>
                <w:tcPr>
                  <w:tcW w:w="887" w:type="dxa"/>
                  <w:shd w:val="clear" w:color="auto" w:fill="auto"/>
                  <w:noWrap w:val="0"/>
                  <w:tcMar>
                    <w:top w:w="45" w:type="dxa"/>
                    <w:left w:w="75" w:type="dxa"/>
                    <w:bottom w:w="45" w:type="dxa"/>
                    <w:right w:w="75" w:type="dxa"/>
                  </w:tcMar>
                  <w:vAlign w:val="center"/>
                </w:tcPr>
                <w:p w14:paraId="3E84BF17">
                  <w:pPr>
                    <w:keepNext w:val="0"/>
                    <w:keepLines w:val="0"/>
                    <w:widowControl/>
                    <w:suppressLineNumbers w:val="0"/>
                    <w:spacing w:before="0" w:beforeAutospacing="0" w:after="0" w:afterAutospacing="0" w:line="240" w:lineRule="auto"/>
                    <w:ind w:left="0" w:right="0"/>
                    <w:jc w:val="center"/>
                    <w:rPr>
                      <w:rFonts w:hint="eastAsia"/>
                      <w:b/>
                      <w:bCs/>
                      <w:color w:val="auto"/>
                      <w:kern w:val="0"/>
                      <w:szCs w:val="21"/>
                      <w:highlight w:val="none"/>
                      <w:lang w:bidi="ar"/>
                    </w:rPr>
                  </w:pPr>
                  <w:r>
                    <w:rPr>
                      <w:rFonts w:hint="eastAsia"/>
                      <w:b/>
                      <w:bCs/>
                      <w:color w:val="auto"/>
                      <w:kern w:val="0"/>
                      <w:szCs w:val="21"/>
                      <w:highlight w:val="none"/>
                      <w:lang w:bidi="ar"/>
                    </w:rPr>
                    <w:t>收集效率（%）</w:t>
                  </w:r>
                </w:p>
              </w:tc>
              <w:tc>
                <w:tcPr>
                  <w:tcW w:w="978" w:type="dxa"/>
                  <w:shd w:val="clear" w:color="auto" w:fill="auto"/>
                  <w:noWrap w:val="0"/>
                  <w:tcMar>
                    <w:top w:w="45" w:type="dxa"/>
                    <w:left w:w="75" w:type="dxa"/>
                    <w:bottom w:w="45" w:type="dxa"/>
                    <w:right w:w="75" w:type="dxa"/>
                  </w:tcMar>
                  <w:vAlign w:val="center"/>
                </w:tcPr>
                <w:p w14:paraId="50D33B9F">
                  <w:pPr>
                    <w:keepNext w:val="0"/>
                    <w:keepLines w:val="0"/>
                    <w:widowControl/>
                    <w:suppressLineNumbers w:val="0"/>
                    <w:spacing w:before="0" w:beforeAutospacing="0" w:after="0" w:afterAutospacing="0" w:line="240" w:lineRule="auto"/>
                    <w:ind w:left="0" w:right="0"/>
                    <w:jc w:val="center"/>
                    <w:rPr>
                      <w:rFonts w:hint="default"/>
                      <w:b/>
                      <w:bCs/>
                      <w:color w:val="auto"/>
                      <w:kern w:val="0"/>
                      <w:szCs w:val="21"/>
                      <w:highlight w:val="none"/>
                      <w:lang w:bidi="ar"/>
                    </w:rPr>
                  </w:pPr>
                  <w:r>
                    <w:rPr>
                      <w:rFonts w:hint="eastAsia"/>
                      <w:b/>
                      <w:bCs/>
                      <w:color w:val="auto"/>
                      <w:kern w:val="0"/>
                      <w:szCs w:val="21"/>
                      <w:highlight w:val="none"/>
                      <w:lang w:bidi="ar"/>
                    </w:rPr>
                    <w:t>处理效率（%）</w:t>
                  </w:r>
                </w:p>
              </w:tc>
              <w:tc>
                <w:tcPr>
                  <w:tcW w:w="830" w:type="dxa"/>
                  <w:vMerge w:val="continue"/>
                  <w:shd w:val="clear" w:color="auto" w:fill="auto"/>
                  <w:noWrap w:val="0"/>
                  <w:tcMar>
                    <w:top w:w="45" w:type="dxa"/>
                    <w:left w:w="75" w:type="dxa"/>
                    <w:bottom w:w="45" w:type="dxa"/>
                    <w:right w:w="75" w:type="dxa"/>
                  </w:tcMar>
                  <w:vAlign w:val="center"/>
                </w:tcPr>
                <w:p w14:paraId="1C256099">
                  <w:pPr>
                    <w:keepNext w:val="0"/>
                    <w:keepLines w:val="0"/>
                    <w:suppressLineNumbers w:val="0"/>
                    <w:spacing w:before="0" w:beforeAutospacing="0" w:after="0" w:afterAutospacing="0" w:line="240" w:lineRule="auto"/>
                    <w:ind w:left="0" w:right="0"/>
                    <w:jc w:val="center"/>
                    <w:rPr>
                      <w:rFonts w:hint="default"/>
                      <w:color w:val="auto"/>
                      <w:szCs w:val="21"/>
                      <w:highlight w:val="none"/>
                    </w:rPr>
                  </w:pPr>
                </w:p>
              </w:tc>
            </w:tr>
            <w:tr w14:paraId="6FC29312">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CellMar>
                  <w:top w:w="15" w:type="dxa"/>
                  <w:left w:w="15" w:type="dxa"/>
                  <w:bottom w:w="15" w:type="dxa"/>
                  <w:right w:w="15" w:type="dxa"/>
                </w:tblCellMar>
              </w:tblPrEx>
              <w:trPr>
                <w:trHeight w:val="129" w:hRule="atLeast"/>
                <w:jc w:val="center"/>
              </w:trPr>
              <w:tc>
                <w:tcPr>
                  <w:tcW w:w="870" w:type="dxa"/>
                  <w:vMerge w:val="restart"/>
                  <w:shd w:val="clear" w:color="auto" w:fill="auto"/>
                  <w:noWrap w:val="0"/>
                  <w:tcMar>
                    <w:top w:w="45" w:type="dxa"/>
                    <w:left w:w="75" w:type="dxa"/>
                    <w:bottom w:w="45" w:type="dxa"/>
                    <w:right w:w="75" w:type="dxa"/>
                  </w:tcMar>
                  <w:vAlign w:val="center"/>
                </w:tcPr>
                <w:p w14:paraId="540CBC0E">
                  <w:pPr>
                    <w:keepNext w:val="0"/>
                    <w:keepLines w:val="0"/>
                    <w:widowControl/>
                    <w:suppressLineNumbers w:val="0"/>
                    <w:spacing w:before="0" w:beforeAutospacing="0" w:after="0" w:afterAutospacing="0" w:line="240" w:lineRule="auto"/>
                    <w:ind w:left="0" w:right="0"/>
                    <w:jc w:val="center"/>
                    <w:rPr>
                      <w:rFonts w:hint="default" w:eastAsia="宋体"/>
                      <w:color w:val="auto"/>
                      <w:highlight w:val="none"/>
                      <w:lang w:val="en-US" w:eastAsia="zh-CN"/>
                    </w:rPr>
                  </w:pPr>
                  <w:r>
                    <w:rPr>
                      <w:rFonts w:hint="eastAsia"/>
                      <w:color w:val="auto"/>
                      <w:highlight w:val="none"/>
                      <w:lang w:val="en-US" w:eastAsia="zh-CN"/>
                    </w:rPr>
                    <w:t>木浆粉碎、芯体成型</w:t>
                  </w:r>
                </w:p>
              </w:tc>
              <w:tc>
                <w:tcPr>
                  <w:tcW w:w="739" w:type="dxa"/>
                  <w:vMerge w:val="restart"/>
                  <w:shd w:val="clear" w:color="auto" w:fill="auto"/>
                  <w:noWrap w:val="0"/>
                  <w:tcMar>
                    <w:top w:w="45" w:type="dxa"/>
                    <w:left w:w="75" w:type="dxa"/>
                    <w:bottom w:w="45" w:type="dxa"/>
                    <w:right w:w="75" w:type="dxa"/>
                  </w:tcMar>
                  <w:vAlign w:val="center"/>
                </w:tcPr>
                <w:p w14:paraId="3AEC235B">
                  <w:pPr>
                    <w:keepNext w:val="0"/>
                    <w:keepLines w:val="0"/>
                    <w:widowControl/>
                    <w:suppressLineNumbers w:val="0"/>
                    <w:spacing w:before="0" w:beforeAutospacing="0" w:after="0" w:afterAutospacing="0" w:line="240" w:lineRule="auto"/>
                    <w:ind w:left="0" w:right="0"/>
                    <w:jc w:val="center"/>
                    <w:rPr>
                      <w:rFonts w:hint="default"/>
                      <w:color w:val="auto"/>
                      <w:highlight w:val="none"/>
                    </w:rPr>
                  </w:pPr>
                  <w:r>
                    <w:rPr>
                      <w:rFonts w:hint="eastAsia"/>
                      <w:color w:val="auto"/>
                      <w:highlight w:val="none"/>
                    </w:rPr>
                    <w:t>颗粒物</w:t>
                  </w:r>
                </w:p>
              </w:tc>
              <w:tc>
                <w:tcPr>
                  <w:tcW w:w="1090" w:type="dxa"/>
                  <w:shd w:val="clear" w:color="auto" w:fill="auto"/>
                  <w:noWrap w:val="0"/>
                  <w:tcMar>
                    <w:top w:w="45" w:type="dxa"/>
                    <w:left w:w="75" w:type="dxa"/>
                    <w:bottom w:w="45" w:type="dxa"/>
                    <w:right w:w="75" w:type="dxa"/>
                  </w:tcMar>
                  <w:vAlign w:val="center"/>
                </w:tcPr>
                <w:p w14:paraId="14D30BFE">
                  <w:pPr>
                    <w:keepNext w:val="0"/>
                    <w:keepLines w:val="0"/>
                    <w:widowControl/>
                    <w:suppressLineNumbers w:val="0"/>
                    <w:spacing w:before="0" w:beforeAutospacing="0" w:after="0" w:afterAutospacing="0" w:line="240" w:lineRule="auto"/>
                    <w:ind w:left="0" w:right="0"/>
                    <w:jc w:val="center"/>
                    <w:rPr>
                      <w:rFonts w:hint="eastAsia" w:eastAsia="宋体"/>
                      <w:color w:val="auto"/>
                      <w:highlight w:val="none"/>
                      <w:lang w:eastAsia="zh-CN"/>
                    </w:rPr>
                  </w:pPr>
                  <w:r>
                    <w:rPr>
                      <w:rFonts w:hint="eastAsia"/>
                      <w:color w:val="auto"/>
                      <w:highlight w:val="none"/>
                      <w:lang w:val="en-US" w:eastAsia="zh-CN"/>
                    </w:rPr>
                    <w:t>有组织</w:t>
                  </w:r>
                </w:p>
              </w:tc>
              <w:tc>
                <w:tcPr>
                  <w:tcW w:w="906" w:type="dxa"/>
                  <w:shd w:val="clear" w:color="auto" w:fill="auto"/>
                  <w:noWrap w:val="0"/>
                  <w:tcMar>
                    <w:top w:w="45" w:type="dxa"/>
                    <w:left w:w="75" w:type="dxa"/>
                    <w:bottom w:w="45" w:type="dxa"/>
                    <w:right w:w="75" w:type="dxa"/>
                  </w:tcMar>
                  <w:vAlign w:val="center"/>
                </w:tcPr>
                <w:p w14:paraId="1C4A6076">
                  <w:pPr>
                    <w:keepNext w:val="0"/>
                    <w:keepLines w:val="0"/>
                    <w:widowControl/>
                    <w:suppressLineNumbers w:val="0"/>
                    <w:spacing w:before="0" w:beforeAutospacing="0" w:after="0" w:afterAutospacing="0" w:line="240" w:lineRule="auto"/>
                    <w:ind w:left="0" w:right="0"/>
                    <w:jc w:val="center"/>
                    <w:rPr>
                      <w:rFonts w:hint="eastAsia" w:eastAsia="宋体"/>
                      <w:color w:val="auto"/>
                      <w:highlight w:val="none"/>
                      <w:lang w:eastAsia="zh-CN"/>
                    </w:rPr>
                  </w:pPr>
                  <w:r>
                    <w:rPr>
                      <w:rFonts w:hint="eastAsia"/>
                      <w:color w:val="auto"/>
                      <w:highlight w:val="none"/>
                    </w:rPr>
                    <w:t>TA00</w:t>
                  </w:r>
                  <w:r>
                    <w:rPr>
                      <w:rFonts w:hint="eastAsia"/>
                      <w:color w:val="auto"/>
                      <w:highlight w:val="none"/>
                      <w:lang w:val="en-US" w:eastAsia="zh-CN"/>
                    </w:rPr>
                    <w:t>1</w:t>
                  </w:r>
                </w:p>
              </w:tc>
              <w:tc>
                <w:tcPr>
                  <w:tcW w:w="1031" w:type="dxa"/>
                  <w:vMerge w:val="restart"/>
                  <w:shd w:val="clear" w:color="auto" w:fill="auto"/>
                  <w:noWrap w:val="0"/>
                  <w:tcMar>
                    <w:top w:w="45" w:type="dxa"/>
                    <w:left w:w="75" w:type="dxa"/>
                    <w:bottom w:w="45" w:type="dxa"/>
                    <w:right w:w="75" w:type="dxa"/>
                  </w:tcMar>
                  <w:vAlign w:val="center"/>
                </w:tcPr>
                <w:p w14:paraId="6E0BE778">
                  <w:pPr>
                    <w:keepNext w:val="0"/>
                    <w:keepLines w:val="0"/>
                    <w:widowControl/>
                    <w:suppressLineNumbers w:val="0"/>
                    <w:spacing w:before="0" w:beforeAutospacing="0" w:after="0" w:afterAutospacing="0" w:line="240" w:lineRule="auto"/>
                    <w:ind w:left="0" w:right="0"/>
                    <w:jc w:val="center"/>
                    <w:rPr>
                      <w:rFonts w:hint="default"/>
                      <w:color w:val="auto"/>
                      <w:highlight w:val="none"/>
                    </w:rPr>
                  </w:pPr>
                  <w:r>
                    <w:rPr>
                      <w:rFonts w:hint="eastAsia"/>
                      <w:color w:val="auto"/>
                      <w:highlight w:val="none"/>
                      <w:lang w:val="en-US" w:eastAsia="zh-CN"/>
                    </w:rPr>
                    <w:t>脉冲</w:t>
                  </w:r>
                  <w:r>
                    <w:rPr>
                      <w:rFonts w:hint="eastAsia"/>
                      <w:color w:val="auto"/>
                      <w:highlight w:val="none"/>
                    </w:rPr>
                    <w:t>布袋除尘器</w:t>
                  </w:r>
                </w:p>
              </w:tc>
              <w:tc>
                <w:tcPr>
                  <w:tcW w:w="807" w:type="dxa"/>
                  <w:shd w:val="clear" w:color="auto" w:fill="auto"/>
                  <w:noWrap w:val="0"/>
                  <w:tcMar>
                    <w:top w:w="45" w:type="dxa"/>
                    <w:left w:w="75" w:type="dxa"/>
                    <w:bottom w:w="45" w:type="dxa"/>
                    <w:right w:w="75" w:type="dxa"/>
                  </w:tcMar>
                  <w:vAlign w:val="center"/>
                </w:tcPr>
                <w:p w14:paraId="352AD7A9">
                  <w:pPr>
                    <w:keepNext w:val="0"/>
                    <w:keepLines w:val="0"/>
                    <w:widowControl/>
                    <w:suppressLineNumbers w:val="0"/>
                    <w:spacing w:before="0" w:beforeAutospacing="0" w:after="0" w:afterAutospacing="0" w:line="240" w:lineRule="auto"/>
                    <w:ind w:left="0" w:right="0"/>
                    <w:jc w:val="center"/>
                    <w:rPr>
                      <w:rFonts w:hint="default"/>
                      <w:color w:val="auto"/>
                      <w:highlight w:val="none"/>
                    </w:rPr>
                  </w:pPr>
                  <w:r>
                    <w:rPr>
                      <w:rFonts w:hint="eastAsia"/>
                      <w:color w:val="auto"/>
                      <w:highlight w:val="none"/>
                    </w:rPr>
                    <w:t>是</w:t>
                  </w:r>
                </w:p>
              </w:tc>
              <w:tc>
                <w:tcPr>
                  <w:tcW w:w="887" w:type="dxa"/>
                  <w:shd w:val="clear" w:color="auto" w:fill="auto"/>
                  <w:noWrap w:val="0"/>
                  <w:tcMar>
                    <w:top w:w="45" w:type="dxa"/>
                    <w:left w:w="75" w:type="dxa"/>
                    <w:bottom w:w="45" w:type="dxa"/>
                    <w:right w:w="75" w:type="dxa"/>
                  </w:tcMar>
                  <w:vAlign w:val="center"/>
                </w:tcPr>
                <w:p w14:paraId="01A3CD94">
                  <w:pPr>
                    <w:keepNext w:val="0"/>
                    <w:keepLines w:val="0"/>
                    <w:widowControl/>
                    <w:suppressLineNumbers w:val="0"/>
                    <w:spacing w:before="0" w:beforeAutospacing="0" w:after="0" w:afterAutospacing="0" w:line="240" w:lineRule="auto"/>
                    <w:ind w:left="0" w:right="0"/>
                    <w:jc w:val="center"/>
                    <w:rPr>
                      <w:rFonts w:hint="default" w:eastAsia="宋体"/>
                      <w:color w:val="auto"/>
                      <w:highlight w:val="none"/>
                      <w:lang w:val="en-US" w:eastAsia="zh-CN"/>
                    </w:rPr>
                  </w:pPr>
                  <w:r>
                    <w:rPr>
                      <w:rFonts w:hint="eastAsia"/>
                      <w:color w:val="auto"/>
                      <w:highlight w:val="none"/>
                      <w:lang w:val="en-US" w:eastAsia="zh-CN"/>
                    </w:rPr>
                    <w:t>95</w:t>
                  </w:r>
                </w:p>
              </w:tc>
              <w:tc>
                <w:tcPr>
                  <w:tcW w:w="978" w:type="dxa"/>
                  <w:shd w:val="clear" w:color="auto" w:fill="auto"/>
                  <w:noWrap w:val="0"/>
                  <w:tcMar>
                    <w:top w:w="45" w:type="dxa"/>
                    <w:left w:w="75" w:type="dxa"/>
                    <w:bottom w:w="45" w:type="dxa"/>
                    <w:right w:w="75" w:type="dxa"/>
                  </w:tcMar>
                  <w:vAlign w:val="center"/>
                </w:tcPr>
                <w:p w14:paraId="5121E9C3">
                  <w:pPr>
                    <w:keepNext w:val="0"/>
                    <w:keepLines w:val="0"/>
                    <w:widowControl/>
                    <w:suppressLineNumbers w:val="0"/>
                    <w:spacing w:before="0" w:beforeAutospacing="0" w:after="0" w:afterAutospacing="0" w:line="240" w:lineRule="auto"/>
                    <w:ind w:left="0" w:right="0"/>
                    <w:jc w:val="center"/>
                    <w:rPr>
                      <w:rFonts w:hint="default" w:eastAsia="宋体"/>
                      <w:color w:val="auto"/>
                      <w:highlight w:val="none"/>
                      <w:lang w:val="en-US" w:eastAsia="zh-CN"/>
                    </w:rPr>
                  </w:pPr>
                  <w:r>
                    <w:rPr>
                      <w:rFonts w:hint="eastAsia"/>
                      <w:color w:val="auto"/>
                      <w:highlight w:val="none"/>
                      <w:lang w:val="en-US" w:eastAsia="zh-CN"/>
                    </w:rPr>
                    <w:t>95</w:t>
                  </w:r>
                </w:p>
              </w:tc>
              <w:tc>
                <w:tcPr>
                  <w:tcW w:w="830" w:type="dxa"/>
                  <w:shd w:val="clear" w:color="auto" w:fill="auto"/>
                  <w:noWrap w:val="0"/>
                  <w:tcMar>
                    <w:top w:w="45" w:type="dxa"/>
                    <w:left w:w="75" w:type="dxa"/>
                    <w:bottom w:w="45" w:type="dxa"/>
                    <w:right w:w="75" w:type="dxa"/>
                  </w:tcMar>
                  <w:vAlign w:val="center"/>
                </w:tcPr>
                <w:p w14:paraId="21E70F34">
                  <w:pPr>
                    <w:keepNext w:val="0"/>
                    <w:keepLines w:val="0"/>
                    <w:widowControl/>
                    <w:suppressLineNumbers w:val="0"/>
                    <w:spacing w:before="0" w:beforeAutospacing="0" w:after="0" w:afterAutospacing="0" w:line="240" w:lineRule="auto"/>
                    <w:ind w:left="0" w:right="0"/>
                    <w:jc w:val="center"/>
                    <w:rPr>
                      <w:rFonts w:hint="eastAsia" w:eastAsia="宋体"/>
                      <w:color w:val="auto"/>
                      <w:highlight w:val="none"/>
                      <w:lang w:eastAsia="zh-CN"/>
                    </w:rPr>
                  </w:pPr>
                  <w:r>
                    <w:rPr>
                      <w:rFonts w:hint="eastAsia"/>
                      <w:color w:val="auto"/>
                      <w:highlight w:val="none"/>
                    </w:rPr>
                    <w:t>DA00</w:t>
                  </w:r>
                  <w:r>
                    <w:rPr>
                      <w:rFonts w:hint="eastAsia"/>
                      <w:color w:val="auto"/>
                      <w:highlight w:val="none"/>
                      <w:lang w:val="en-US" w:eastAsia="zh-CN"/>
                    </w:rPr>
                    <w:t>1</w:t>
                  </w:r>
                </w:p>
              </w:tc>
            </w:tr>
            <w:tr w14:paraId="116DC2BE">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CellMar>
                  <w:top w:w="15" w:type="dxa"/>
                  <w:left w:w="15" w:type="dxa"/>
                  <w:bottom w:w="15" w:type="dxa"/>
                  <w:right w:w="15" w:type="dxa"/>
                </w:tblCellMar>
              </w:tblPrEx>
              <w:trPr>
                <w:trHeight w:val="129" w:hRule="atLeast"/>
                <w:jc w:val="center"/>
              </w:trPr>
              <w:tc>
                <w:tcPr>
                  <w:tcW w:w="870" w:type="dxa"/>
                  <w:vMerge w:val="continue"/>
                  <w:shd w:val="clear" w:color="auto" w:fill="auto"/>
                  <w:noWrap w:val="0"/>
                  <w:tcMar>
                    <w:top w:w="45" w:type="dxa"/>
                    <w:left w:w="75" w:type="dxa"/>
                    <w:bottom w:w="45" w:type="dxa"/>
                    <w:right w:w="75" w:type="dxa"/>
                  </w:tcMar>
                  <w:vAlign w:val="center"/>
                </w:tcPr>
                <w:p w14:paraId="1478009C">
                  <w:pPr>
                    <w:keepNext w:val="0"/>
                    <w:keepLines w:val="0"/>
                    <w:widowControl/>
                    <w:suppressLineNumbers w:val="0"/>
                    <w:spacing w:before="0" w:beforeAutospacing="0" w:after="0" w:afterAutospacing="0" w:line="240" w:lineRule="auto"/>
                    <w:ind w:left="0" w:right="0"/>
                    <w:jc w:val="center"/>
                    <w:rPr>
                      <w:rFonts w:hint="default"/>
                    </w:rPr>
                  </w:pPr>
                </w:p>
              </w:tc>
              <w:tc>
                <w:tcPr>
                  <w:tcW w:w="739" w:type="dxa"/>
                  <w:vMerge w:val="continue"/>
                  <w:shd w:val="clear" w:color="auto" w:fill="auto"/>
                  <w:noWrap w:val="0"/>
                  <w:tcMar>
                    <w:top w:w="45" w:type="dxa"/>
                    <w:left w:w="75" w:type="dxa"/>
                    <w:bottom w:w="45" w:type="dxa"/>
                    <w:right w:w="75" w:type="dxa"/>
                  </w:tcMar>
                  <w:vAlign w:val="center"/>
                </w:tcPr>
                <w:p w14:paraId="5DA14887">
                  <w:pPr>
                    <w:keepNext w:val="0"/>
                    <w:keepLines w:val="0"/>
                    <w:widowControl/>
                    <w:suppressLineNumbers w:val="0"/>
                    <w:spacing w:before="0" w:beforeAutospacing="0" w:after="0" w:afterAutospacing="0" w:line="240" w:lineRule="auto"/>
                    <w:ind w:left="0" w:right="0"/>
                    <w:jc w:val="center"/>
                    <w:rPr>
                      <w:rFonts w:hint="default"/>
                    </w:rPr>
                  </w:pPr>
                </w:p>
              </w:tc>
              <w:tc>
                <w:tcPr>
                  <w:tcW w:w="1090" w:type="dxa"/>
                  <w:shd w:val="clear" w:color="auto" w:fill="auto"/>
                  <w:noWrap w:val="0"/>
                  <w:tcMar>
                    <w:top w:w="45" w:type="dxa"/>
                    <w:left w:w="75" w:type="dxa"/>
                    <w:bottom w:w="45" w:type="dxa"/>
                    <w:right w:w="75" w:type="dxa"/>
                  </w:tcMar>
                  <w:vAlign w:val="center"/>
                </w:tcPr>
                <w:p w14:paraId="1041E5D1">
                  <w:pPr>
                    <w:keepNext w:val="0"/>
                    <w:keepLines w:val="0"/>
                    <w:widowControl/>
                    <w:suppressLineNumbers w:val="0"/>
                    <w:spacing w:before="0" w:beforeAutospacing="0" w:after="0" w:afterAutospacing="0" w:line="240" w:lineRule="auto"/>
                    <w:ind w:left="0" w:leftChars="0" w:right="0" w:rightChars="0"/>
                    <w:jc w:val="center"/>
                    <w:rPr>
                      <w:rFonts w:hint="default"/>
                    </w:rPr>
                  </w:pPr>
                  <w:r>
                    <w:rPr>
                      <w:rFonts w:hint="eastAsia"/>
                      <w:color w:val="auto"/>
                      <w:highlight w:val="none"/>
                      <w:lang w:val="en-US" w:eastAsia="zh-CN"/>
                    </w:rPr>
                    <w:t>有组织</w:t>
                  </w:r>
                </w:p>
              </w:tc>
              <w:tc>
                <w:tcPr>
                  <w:tcW w:w="906" w:type="dxa"/>
                  <w:shd w:val="clear" w:color="auto" w:fill="auto"/>
                  <w:noWrap w:val="0"/>
                  <w:tcMar>
                    <w:top w:w="45" w:type="dxa"/>
                    <w:left w:w="75" w:type="dxa"/>
                    <w:bottom w:w="45" w:type="dxa"/>
                    <w:right w:w="75" w:type="dxa"/>
                  </w:tcMar>
                  <w:vAlign w:val="center"/>
                </w:tcPr>
                <w:p w14:paraId="2709B39C">
                  <w:pPr>
                    <w:keepNext w:val="0"/>
                    <w:keepLines w:val="0"/>
                    <w:widowControl/>
                    <w:suppressLineNumbers w:val="0"/>
                    <w:spacing w:before="0" w:beforeAutospacing="0" w:after="0" w:afterAutospacing="0" w:line="240" w:lineRule="auto"/>
                    <w:ind w:left="0" w:right="0"/>
                    <w:jc w:val="center"/>
                    <w:rPr>
                      <w:rFonts w:hint="eastAsia" w:eastAsia="宋体"/>
                      <w:color w:val="auto"/>
                      <w:highlight w:val="none"/>
                      <w:lang w:val="en-US" w:eastAsia="zh-CN"/>
                    </w:rPr>
                  </w:pPr>
                  <w:r>
                    <w:rPr>
                      <w:rFonts w:hint="eastAsia"/>
                      <w:color w:val="auto"/>
                      <w:highlight w:val="none"/>
                    </w:rPr>
                    <w:t>TA00</w:t>
                  </w:r>
                  <w:r>
                    <w:rPr>
                      <w:rFonts w:hint="eastAsia"/>
                      <w:color w:val="auto"/>
                      <w:highlight w:val="none"/>
                      <w:lang w:val="en-US" w:eastAsia="zh-CN"/>
                    </w:rPr>
                    <w:t>2</w:t>
                  </w:r>
                </w:p>
              </w:tc>
              <w:tc>
                <w:tcPr>
                  <w:tcW w:w="1031" w:type="dxa"/>
                  <w:vMerge w:val="continue"/>
                  <w:shd w:val="clear" w:color="auto" w:fill="auto"/>
                  <w:noWrap w:val="0"/>
                  <w:tcMar>
                    <w:top w:w="45" w:type="dxa"/>
                    <w:left w:w="75" w:type="dxa"/>
                    <w:bottom w:w="45" w:type="dxa"/>
                    <w:right w:w="75" w:type="dxa"/>
                  </w:tcMar>
                  <w:vAlign w:val="center"/>
                </w:tcPr>
                <w:p w14:paraId="4E692370">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807" w:type="dxa"/>
                  <w:shd w:val="clear" w:color="auto" w:fill="auto"/>
                  <w:noWrap w:val="0"/>
                  <w:tcMar>
                    <w:top w:w="45" w:type="dxa"/>
                    <w:left w:w="75" w:type="dxa"/>
                    <w:bottom w:w="45" w:type="dxa"/>
                    <w:right w:w="75" w:type="dxa"/>
                  </w:tcMar>
                  <w:vAlign w:val="center"/>
                </w:tcPr>
                <w:p w14:paraId="008BCFAD">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是</w:t>
                  </w:r>
                </w:p>
              </w:tc>
              <w:tc>
                <w:tcPr>
                  <w:tcW w:w="887" w:type="dxa"/>
                  <w:shd w:val="clear" w:color="auto" w:fill="auto"/>
                  <w:noWrap w:val="0"/>
                  <w:tcMar>
                    <w:top w:w="45" w:type="dxa"/>
                    <w:left w:w="75" w:type="dxa"/>
                    <w:bottom w:w="45" w:type="dxa"/>
                    <w:right w:w="75" w:type="dxa"/>
                  </w:tcMar>
                  <w:vAlign w:val="center"/>
                </w:tcPr>
                <w:p w14:paraId="737C95D4">
                  <w:pPr>
                    <w:keepNext w:val="0"/>
                    <w:keepLines w:val="0"/>
                    <w:widowControl/>
                    <w:suppressLineNumbers w:val="0"/>
                    <w:spacing w:before="0" w:beforeAutospacing="0" w:after="0" w:afterAutospacing="0" w:line="240" w:lineRule="auto"/>
                    <w:ind w:left="0" w:right="0"/>
                    <w:jc w:val="center"/>
                    <w:rPr>
                      <w:rFonts w:hint="default" w:eastAsia="宋体"/>
                      <w:color w:val="auto"/>
                      <w:highlight w:val="none"/>
                      <w:lang w:val="en-US" w:eastAsia="zh-CN"/>
                    </w:rPr>
                  </w:pPr>
                  <w:r>
                    <w:rPr>
                      <w:rFonts w:hint="eastAsia"/>
                      <w:color w:val="auto"/>
                      <w:highlight w:val="none"/>
                      <w:lang w:val="en-US" w:eastAsia="zh-CN"/>
                    </w:rPr>
                    <w:t>95</w:t>
                  </w:r>
                </w:p>
              </w:tc>
              <w:tc>
                <w:tcPr>
                  <w:tcW w:w="978" w:type="dxa"/>
                  <w:shd w:val="clear" w:color="auto" w:fill="auto"/>
                  <w:noWrap w:val="0"/>
                  <w:tcMar>
                    <w:top w:w="45" w:type="dxa"/>
                    <w:left w:w="75" w:type="dxa"/>
                    <w:bottom w:w="45" w:type="dxa"/>
                    <w:right w:w="75" w:type="dxa"/>
                  </w:tcMar>
                  <w:vAlign w:val="center"/>
                </w:tcPr>
                <w:p w14:paraId="68AF824F">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lang w:val="en-US" w:eastAsia="zh-CN"/>
                    </w:rPr>
                    <w:t>95</w:t>
                  </w:r>
                </w:p>
              </w:tc>
              <w:tc>
                <w:tcPr>
                  <w:tcW w:w="830" w:type="dxa"/>
                  <w:shd w:val="clear" w:color="auto" w:fill="auto"/>
                  <w:noWrap w:val="0"/>
                  <w:tcMar>
                    <w:top w:w="45" w:type="dxa"/>
                    <w:left w:w="75" w:type="dxa"/>
                    <w:bottom w:w="45" w:type="dxa"/>
                    <w:right w:w="75" w:type="dxa"/>
                  </w:tcMar>
                  <w:vAlign w:val="center"/>
                </w:tcPr>
                <w:p w14:paraId="02143569">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DA00</w:t>
                  </w:r>
                  <w:r>
                    <w:rPr>
                      <w:rFonts w:hint="eastAsia"/>
                      <w:color w:val="auto"/>
                      <w:highlight w:val="none"/>
                      <w:lang w:val="en-US" w:eastAsia="zh-CN"/>
                    </w:rPr>
                    <w:t>2</w:t>
                  </w:r>
                </w:p>
              </w:tc>
            </w:tr>
            <w:tr w14:paraId="5636F79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CellMar>
                  <w:top w:w="15" w:type="dxa"/>
                  <w:left w:w="15" w:type="dxa"/>
                  <w:bottom w:w="15" w:type="dxa"/>
                  <w:right w:w="15" w:type="dxa"/>
                </w:tblCellMar>
              </w:tblPrEx>
              <w:trPr>
                <w:trHeight w:val="129" w:hRule="atLeast"/>
                <w:jc w:val="center"/>
              </w:trPr>
              <w:tc>
                <w:tcPr>
                  <w:tcW w:w="870" w:type="dxa"/>
                  <w:vMerge w:val="continue"/>
                  <w:shd w:val="clear" w:color="auto" w:fill="auto"/>
                  <w:noWrap w:val="0"/>
                  <w:tcMar>
                    <w:top w:w="45" w:type="dxa"/>
                    <w:left w:w="75" w:type="dxa"/>
                    <w:bottom w:w="45" w:type="dxa"/>
                    <w:right w:w="75" w:type="dxa"/>
                  </w:tcMar>
                  <w:vAlign w:val="center"/>
                </w:tcPr>
                <w:p w14:paraId="27F514C3">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739" w:type="dxa"/>
                  <w:vMerge w:val="continue"/>
                  <w:shd w:val="clear" w:color="auto" w:fill="auto"/>
                  <w:noWrap w:val="0"/>
                  <w:tcMar>
                    <w:top w:w="45" w:type="dxa"/>
                    <w:left w:w="75" w:type="dxa"/>
                    <w:bottom w:w="45" w:type="dxa"/>
                    <w:right w:w="75" w:type="dxa"/>
                  </w:tcMar>
                  <w:vAlign w:val="center"/>
                </w:tcPr>
                <w:p w14:paraId="24367B76">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1090" w:type="dxa"/>
                  <w:shd w:val="clear" w:color="auto" w:fill="auto"/>
                  <w:noWrap w:val="0"/>
                  <w:tcMar>
                    <w:top w:w="45" w:type="dxa"/>
                    <w:left w:w="75" w:type="dxa"/>
                    <w:bottom w:w="45" w:type="dxa"/>
                    <w:right w:w="75" w:type="dxa"/>
                  </w:tcMar>
                  <w:vAlign w:val="center"/>
                </w:tcPr>
                <w:p w14:paraId="6899FBAE">
                  <w:pPr>
                    <w:keepNext w:val="0"/>
                    <w:keepLines w:val="0"/>
                    <w:widowControl/>
                    <w:suppressLineNumbers w:val="0"/>
                    <w:spacing w:before="0" w:beforeAutospacing="0" w:after="0" w:afterAutospacing="0" w:line="240" w:lineRule="auto"/>
                    <w:ind w:left="0" w:leftChars="0" w:right="0" w:rightChars="0"/>
                    <w:jc w:val="center"/>
                    <w:rPr>
                      <w:rFonts w:hint="eastAsia"/>
                      <w:color w:val="auto"/>
                      <w:highlight w:val="none"/>
                    </w:rPr>
                  </w:pPr>
                  <w:r>
                    <w:rPr>
                      <w:rFonts w:hint="eastAsia"/>
                      <w:color w:val="auto"/>
                      <w:highlight w:val="none"/>
                      <w:lang w:val="en-US" w:eastAsia="zh-CN"/>
                    </w:rPr>
                    <w:t>有组织</w:t>
                  </w:r>
                </w:p>
              </w:tc>
              <w:tc>
                <w:tcPr>
                  <w:tcW w:w="906" w:type="dxa"/>
                  <w:shd w:val="clear" w:color="auto" w:fill="auto"/>
                  <w:noWrap w:val="0"/>
                  <w:tcMar>
                    <w:top w:w="45" w:type="dxa"/>
                    <w:left w:w="75" w:type="dxa"/>
                    <w:bottom w:w="45" w:type="dxa"/>
                    <w:right w:w="75" w:type="dxa"/>
                  </w:tcMar>
                  <w:vAlign w:val="center"/>
                </w:tcPr>
                <w:p w14:paraId="64E109F4">
                  <w:pPr>
                    <w:keepNext w:val="0"/>
                    <w:keepLines w:val="0"/>
                    <w:widowControl/>
                    <w:suppressLineNumbers w:val="0"/>
                    <w:spacing w:before="0" w:beforeAutospacing="0" w:after="0" w:afterAutospacing="0" w:line="240" w:lineRule="auto"/>
                    <w:ind w:left="0" w:right="0"/>
                    <w:jc w:val="center"/>
                    <w:rPr>
                      <w:rFonts w:hint="eastAsia" w:eastAsia="宋体"/>
                      <w:color w:val="auto"/>
                      <w:highlight w:val="none"/>
                      <w:lang w:val="en-US" w:eastAsia="zh-CN"/>
                    </w:rPr>
                  </w:pPr>
                  <w:r>
                    <w:rPr>
                      <w:rFonts w:hint="eastAsia"/>
                      <w:color w:val="auto"/>
                      <w:highlight w:val="none"/>
                    </w:rPr>
                    <w:t>TA00</w:t>
                  </w:r>
                  <w:r>
                    <w:rPr>
                      <w:rFonts w:hint="eastAsia"/>
                      <w:color w:val="auto"/>
                      <w:highlight w:val="none"/>
                      <w:lang w:val="en-US" w:eastAsia="zh-CN"/>
                    </w:rPr>
                    <w:t>3</w:t>
                  </w:r>
                </w:p>
              </w:tc>
              <w:tc>
                <w:tcPr>
                  <w:tcW w:w="1031" w:type="dxa"/>
                  <w:vMerge w:val="continue"/>
                  <w:shd w:val="clear" w:color="auto" w:fill="auto"/>
                  <w:noWrap w:val="0"/>
                  <w:tcMar>
                    <w:top w:w="45" w:type="dxa"/>
                    <w:left w:w="75" w:type="dxa"/>
                    <w:bottom w:w="45" w:type="dxa"/>
                    <w:right w:w="75" w:type="dxa"/>
                  </w:tcMar>
                  <w:vAlign w:val="center"/>
                </w:tcPr>
                <w:p w14:paraId="797CA6F9">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807" w:type="dxa"/>
                  <w:shd w:val="clear" w:color="auto" w:fill="auto"/>
                  <w:noWrap w:val="0"/>
                  <w:tcMar>
                    <w:top w:w="45" w:type="dxa"/>
                    <w:left w:w="75" w:type="dxa"/>
                    <w:bottom w:w="45" w:type="dxa"/>
                    <w:right w:w="75" w:type="dxa"/>
                  </w:tcMar>
                  <w:vAlign w:val="center"/>
                </w:tcPr>
                <w:p w14:paraId="77F67723">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是</w:t>
                  </w:r>
                </w:p>
              </w:tc>
              <w:tc>
                <w:tcPr>
                  <w:tcW w:w="887" w:type="dxa"/>
                  <w:shd w:val="clear" w:color="auto" w:fill="auto"/>
                  <w:noWrap w:val="0"/>
                  <w:tcMar>
                    <w:top w:w="45" w:type="dxa"/>
                    <w:left w:w="75" w:type="dxa"/>
                    <w:bottom w:w="45" w:type="dxa"/>
                    <w:right w:w="75" w:type="dxa"/>
                  </w:tcMar>
                  <w:vAlign w:val="center"/>
                </w:tcPr>
                <w:p w14:paraId="10047946">
                  <w:pPr>
                    <w:keepNext w:val="0"/>
                    <w:keepLines w:val="0"/>
                    <w:widowControl/>
                    <w:suppressLineNumbers w:val="0"/>
                    <w:spacing w:before="0" w:beforeAutospacing="0" w:after="0" w:afterAutospacing="0" w:line="240" w:lineRule="auto"/>
                    <w:ind w:left="0" w:right="0"/>
                    <w:jc w:val="center"/>
                    <w:rPr>
                      <w:rFonts w:hint="default" w:eastAsia="宋体"/>
                      <w:color w:val="auto"/>
                      <w:highlight w:val="none"/>
                      <w:lang w:val="en-US" w:eastAsia="zh-CN"/>
                    </w:rPr>
                  </w:pPr>
                  <w:r>
                    <w:rPr>
                      <w:rFonts w:hint="eastAsia"/>
                      <w:color w:val="auto"/>
                      <w:highlight w:val="none"/>
                      <w:lang w:val="en-US" w:eastAsia="zh-CN"/>
                    </w:rPr>
                    <w:t>95</w:t>
                  </w:r>
                </w:p>
              </w:tc>
              <w:tc>
                <w:tcPr>
                  <w:tcW w:w="978" w:type="dxa"/>
                  <w:shd w:val="clear" w:color="auto" w:fill="auto"/>
                  <w:noWrap w:val="0"/>
                  <w:tcMar>
                    <w:top w:w="45" w:type="dxa"/>
                    <w:left w:w="75" w:type="dxa"/>
                    <w:bottom w:w="45" w:type="dxa"/>
                    <w:right w:w="75" w:type="dxa"/>
                  </w:tcMar>
                  <w:vAlign w:val="center"/>
                </w:tcPr>
                <w:p w14:paraId="2D366AD2">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lang w:val="en-US" w:eastAsia="zh-CN"/>
                    </w:rPr>
                    <w:t>95</w:t>
                  </w:r>
                </w:p>
              </w:tc>
              <w:tc>
                <w:tcPr>
                  <w:tcW w:w="830" w:type="dxa"/>
                  <w:shd w:val="clear" w:color="auto" w:fill="auto"/>
                  <w:noWrap w:val="0"/>
                  <w:tcMar>
                    <w:top w:w="45" w:type="dxa"/>
                    <w:left w:w="75" w:type="dxa"/>
                    <w:bottom w:w="45" w:type="dxa"/>
                    <w:right w:w="75" w:type="dxa"/>
                  </w:tcMar>
                  <w:vAlign w:val="center"/>
                </w:tcPr>
                <w:p w14:paraId="5BE426E4">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DA00</w:t>
                  </w:r>
                  <w:r>
                    <w:rPr>
                      <w:rFonts w:hint="eastAsia"/>
                      <w:color w:val="auto"/>
                      <w:highlight w:val="none"/>
                      <w:lang w:val="en-US" w:eastAsia="zh-CN"/>
                    </w:rPr>
                    <w:t>3</w:t>
                  </w:r>
                </w:p>
              </w:tc>
            </w:tr>
            <w:tr w14:paraId="58451285">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CellMar>
                  <w:top w:w="15" w:type="dxa"/>
                  <w:left w:w="15" w:type="dxa"/>
                  <w:bottom w:w="15" w:type="dxa"/>
                  <w:right w:w="15" w:type="dxa"/>
                </w:tblCellMar>
              </w:tblPrEx>
              <w:trPr>
                <w:trHeight w:val="129" w:hRule="atLeast"/>
                <w:jc w:val="center"/>
              </w:trPr>
              <w:tc>
                <w:tcPr>
                  <w:tcW w:w="870" w:type="dxa"/>
                  <w:vMerge w:val="continue"/>
                  <w:shd w:val="clear" w:color="auto" w:fill="auto"/>
                  <w:noWrap w:val="0"/>
                  <w:tcMar>
                    <w:top w:w="45" w:type="dxa"/>
                    <w:left w:w="75" w:type="dxa"/>
                    <w:bottom w:w="45" w:type="dxa"/>
                    <w:right w:w="75" w:type="dxa"/>
                  </w:tcMar>
                  <w:vAlign w:val="center"/>
                </w:tcPr>
                <w:p w14:paraId="486D2FAA">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739" w:type="dxa"/>
                  <w:vMerge w:val="continue"/>
                  <w:shd w:val="clear" w:color="auto" w:fill="auto"/>
                  <w:noWrap w:val="0"/>
                  <w:tcMar>
                    <w:top w:w="45" w:type="dxa"/>
                    <w:left w:w="75" w:type="dxa"/>
                    <w:bottom w:w="45" w:type="dxa"/>
                    <w:right w:w="75" w:type="dxa"/>
                  </w:tcMar>
                  <w:vAlign w:val="center"/>
                </w:tcPr>
                <w:p w14:paraId="32D081B4">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1090" w:type="dxa"/>
                  <w:shd w:val="clear" w:color="auto" w:fill="auto"/>
                  <w:noWrap w:val="0"/>
                  <w:tcMar>
                    <w:top w:w="45" w:type="dxa"/>
                    <w:left w:w="75" w:type="dxa"/>
                    <w:bottom w:w="45" w:type="dxa"/>
                    <w:right w:w="75" w:type="dxa"/>
                  </w:tcMar>
                  <w:vAlign w:val="center"/>
                </w:tcPr>
                <w:p w14:paraId="4671F05C">
                  <w:pPr>
                    <w:keepNext w:val="0"/>
                    <w:keepLines w:val="0"/>
                    <w:widowControl/>
                    <w:suppressLineNumbers w:val="0"/>
                    <w:spacing w:before="0" w:beforeAutospacing="0" w:after="0" w:afterAutospacing="0" w:line="240" w:lineRule="auto"/>
                    <w:ind w:left="0" w:leftChars="0" w:right="0" w:rightChars="0"/>
                    <w:jc w:val="center"/>
                    <w:rPr>
                      <w:rFonts w:hint="eastAsia"/>
                      <w:color w:val="auto"/>
                      <w:highlight w:val="none"/>
                    </w:rPr>
                  </w:pPr>
                  <w:r>
                    <w:rPr>
                      <w:rFonts w:hint="eastAsia"/>
                      <w:color w:val="auto"/>
                      <w:highlight w:val="none"/>
                      <w:lang w:val="en-US" w:eastAsia="zh-CN"/>
                    </w:rPr>
                    <w:t>有组织</w:t>
                  </w:r>
                </w:p>
              </w:tc>
              <w:tc>
                <w:tcPr>
                  <w:tcW w:w="906" w:type="dxa"/>
                  <w:shd w:val="clear" w:color="auto" w:fill="auto"/>
                  <w:noWrap w:val="0"/>
                  <w:tcMar>
                    <w:top w:w="45" w:type="dxa"/>
                    <w:left w:w="75" w:type="dxa"/>
                    <w:bottom w:w="45" w:type="dxa"/>
                    <w:right w:w="75" w:type="dxa"/>
                  </w:tcMar>
                  <w:vAlign w:val="center"/>
                </w:tcPr>
                <w:p w14:paraId="6EA577F6">
                  <w:pPr>
                    <w:keepNext w:val="0"/>
                    <w:keepLines w:val="0"/>
                    <w:widowControl/>
                    <w:suppressLineNumbers w:val="0"/>
                    <w:spacing w:before="0" w:beforeAutospacing="0" w:after="0" w:afterAutospacing="0" w:line="240" w:lineRule="auto"/>
                    <w:ind w:left="0" w:right="0"/>
                    <w:jc w:val="center"/>
                    <w:rPr>
                      <w:rFonts w:hint="eastAsia" w:eastAsia="宋体"/>
                      <w:color w:val="auto"/>
                      <w:highlight w:val="none"/>
                      <w:lang w:val="en-US" w:eastAsia="zh-CN"/>
                    </w:rPr>
                  </w:pPr>
                  <w:r>
                    <w:rPr>
                      <w:rFonts w:hint="eastAsia"/>
                      <w:color w:val="auto"/>
                      <w:highlight w:val="none"/>
                    </w:rPr>
                    <w:t>TA00</w:t>
                  </w:r>
                  <w:r>
                    <w:rPr>
                      <w:rFonts w:hint="eastAsia"/>
                      <w:color w:val="auto"/>
                      <w:highlight w:val="none"/>
                      <w:lang w:val="en-US" w:eastAsia="zh-CN"/>
                    </w:rPr>
                    <w:t>4</w:t>
                  </w:r>
                </w:p>
              </w:tc>
              <w:tc>
                <w:tcPr>
                  <w:tcW w:w="1031" w:type="dxa"/>
                  <w:vMerge w:val="continue"/>
                  <w:shd w:val="clear" w:color="auto" w:fill="auto"/>
                  <w:noWrap w:val="0"/>
                  <w:tcMar>
                    <w:top w:w="45" w:type="dxa"/>
                    <w:left w:w="75" w:type="dxa"/>
                    <w:bottom w:w="45" w:type="dxa"/>
                    <w:right w:w="75" w:type="dxa"/>
                  </w:tcMar>
                  <w:vAlign w:val="center"/>
                </w:tcPr>
                <w:p w14:paraId="7021D3DE">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807" w:type="dxa"/>
                  <w:shd w:val="clear" w:color="auto" w:fill="auto"/>
                  <w:noWrap w:val="0"/>
                  <w:tcMar>
                    <w:top w:w="45" w:type="dxa"/>
                    <w:left w:w="75" w:type="dxa"/>
                    <w:bottom w:w="45" w:type="dxa"/>
                    <w:right w:w="75" w:type="dxa"/>
                  </w:tcMar>
                  <w:vAlign w:val="center"/>
                </w:tcPr>
                <w:p w14:paraId="310DA877">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是</w:t>
                  </w:r>
                </w:p>
              </w:tc>
              <w:tc>
                <w:tcPr>
                  <w:tcW w:w="887" w:type="dxa"/>
                  <w:shd w:val="clear" w:color="auto" w:fill="auto"/>
                  <w:noWrap w:val="0"/>
                  <w:tcMar>
                    <w:top w:w="45" w:type="dxa"/>
                    <w:left w:w="75" w:type="dxa"/>
                    <w:bottom w:w="45" w:type="dxa"/>
                    <w:right w:w="75" w:type="dxa"/>
                  </w:tcMar>
                  <w:vAlign w:val="center"/>
                </w:tcPr>
                <w:p w14:paraId="7BD865AB">
                  <w:pPr>
                    <w:keepNext w:val="0"/>
                    <w:keepLines w:val="0"/>
                    <w:widowControl/>
                    <w:suppressLineNumbers w:val="0"/>
                    <w:spacing w:before="0" w:beforeAutospacing="0" w:after="0" w:afterAutospacing="0" w:line="240" w:lineRule="auto"/>
                    <w:ind w:left="0" w:right="0"/>
                    <w:jc w:val="center"/>
                    <w:rPr>
                      <w:rFonts w:hint="eastAsia" w:eastAsia="宋体"/>
                      <w:color w:val="auto"/>
                      <w:highlight w:val="none"/>
                      <w:lang w:val="en-US" w:eastAsia="zh-CN"/>
                    </w:rPr>
                  </w:pPr>
                  <w:r>
                    <w:rPr>
                      <w:rFonts w:hint="eastAsia"/>
                      <w:color w:val="auto"/>
                      <w:highlight w:val="none"/>
                      <w:lang w:val="en-US" w:eastAsia="zh-CN"/>
                    </w:rPr>
                    <w:t>95</w:t>
                  </w:r>
                </w:p>
              </w:tc>
              <w:tc>
                <w:tcPr>
                  <w:tcW w:w="978" w:type="dxa"/>
                  <w:shd w:val="clear" w:color="auto" w:fill="auto"/>
                  <w:noWrap w:val="0"/>
                  <w:tcMar>
                    <w:top w:w="45" w:type="dxa"/>
                    <w:left w:w="75" w:type="dxa"/>
                    <w:bottom w:w="45" w:type="dxa"/>
                    <w:right w:w="75" w:type="dxa"/>
                  </w:tcMar>
                  <w:vAlign w:val="center"/>
                </w:tcPr>
                <w:p w14:paraId="40583DAC">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lang w:val="en-US" w:eastAsia="zh-CN"/>
                    </w:rPr>
                    <w:t>95</w:t>
                  </w:r>
                </w:p>
              </w:tc>
              <w:tc>
                <w:tcPr>
                  <w:tcW w:w="830" w:type="dxa"/>
                  <w:shd w:val="clear" w:color="auto" w:fill="auto"/>
                  <w:noWrap w:val="0"/>
                  <w:tcMar>
                    <w:top w:w="45" w:type="dxa"/>
                    <w:left w:w="75" w:type="dxa"/>
                    <w:bottom w:w="45" w:type="dxa"/>
                    <w:right w:w="75" w:type="dxa"/>
                  </w:tcMar>
                  <w:vAlign w:val="center"/>
                </w:tcPr>
                <w:p w14:paraId="65A999CD">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DA00</w:t>
                  </w:r>
                  <w:r>
                    <w:rPr>
                      <w:rFonts w:hint="eastAsia"/>
                      <w:color w:val="auto"/>
                      <w:highlight w:val="none"/>
                      <w:lang w:val="en-US" w:eastAsia="zh-CN"/>
                    </w:rPr>
                    <w:t>4</w:t>
                  </w:r>
                </w:p>
              </w:tc>
            </w:tr>
            <w:tr w14:paraId="0B47BAE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CellMar>
                  <w:top w:w="15" w:type="dxa"/>
                  <w:left w:w="15" w:type="dxa"/>
                  <w:bottom w:w="15" w:type="dxa"/>
                  <w:right w:w="15" w:type="dxa"/>
                </w:tblCellMar>
              </w:tblPrEx>
              <w:trPr>
                <w:trHeight w:val="129" w:hRule="atLeast"/>
                <w:jc w:val="center"/>
              </w:trPr>
              <w:tc>
                <w:tcPr>
                  <w:tcW w:w="870" w:type="dxa"/>
                  <w:vMerge w:val="continue"/>
                  <w:shd w:val="clear" w:color="auto" w:fill="auto"/>
                  <w:noWrap w:val="0"/>
                  <w:tcMar>
                    <w:top w:w="45" w:type="dxa"/>
                    <w:left w:w="75" w:type="dxa"/>
                    <w:bottom w:w="45" w:type="dxa"/>
                    <w:right w:w="75" w:type="dxa"/>
                  </w:tcMar>
                  <w:vAlign w:val="center"/>
                </w:tcPr>
                <w:p w14:paraId="643DFB18">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739" w:type="dxa"/>
                  <w:vMerge w:val="continue"/>
                  <w:shd w:val="clear" w:color="auto" w:fill="auto"/>
                  <w:noWrap w:val="0"/>
                  <w:tcMar>
                    <w:top w:w="45" w:type="dxa"/>
                    <w:left w:w="75" w:type="dxa"/>
                    <w:bottom w:w="45" w:type="dxa"/>
                    <w:right w:w="75" w:type="dxa"/>
                  </w:tcMar>
                  <w:vAlign w:val="center"/>
                </w:tcPr>
                <w:p w14:paraId="2EA5D22A">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1090" w:type="dxa"/>
                  <w:shd w:val="clear" w:color="auto" w:fill="auto"/>
                  <w:noWrap w:val="0"/>
                  <w:tcMar>
                    <w:top w:w="45" w:type="dxa"/>
                    <w:left w:w="75" w:type="dxa"/>
                    <w:bottom w:w="45" w:type="dxa"/>
                    <w:right w:w="75" w:type="dxa"/>
                  </w:tcMar>
                  <w:vAlign w:val="center"/>
                </w:tcPr>
                <w:p w14:paraId="4C44BA0D">
                  <w:pPr>
                    <w:keepNext w:val="0"/>
                    <w:keepLines w:val="0"/>
                    <w:widowControl/>
                    <w:suppressLineNumbers w:val="0"/>
                    <w:spacing w:before="0" w:beforeAutospacing="0" w:after="0" w:afterAutospacing="0" w:line="240" w:lineRule="auto"/>
                    <w:ind w:left="0" w:leftChars="0" w:right="0" w:rightChars="0"/>
                    <w:jc w:val="center"/>
                    <w:rPr>
                      <w:rFonts w:hint="eastAsia"/>
                      <w:color w:val="auto"/>
                      <w:highlight w:val="none"/>
                    </w:rPr>
                  </w:pPr>
                  <w:r>
                    <w:rPr>
                      <w:rFonts w:hint="eastAsia"/>
                      <w:color w:val="auto"/>
                      <w:highlight w:val="none"/>
                      <w:lang w:val="en-US" w:eastAsia="zh-CN"/>
                    </w:rPr>
                    <w:t>有组织</w:t>
                  </w:r>
                </w:p>
              </w:tc>
              <w:tc>
                <w:tcPr>
                  <w:tcW w:w="906" w:type="dxa"/>
                  <w:shd w:val="clear" w:color="auto" w:fill="auto"/>
                  <w:noWrap w:val="0"/>
                  <w:tcMar>
                    <w:top w:w="45" w:type="dxa"/>
                    <w:left w:w="75" w:type="dxa"/>
                    <w:bottom w:w="45" w:type="dxa"/>
                    <w:right w:w="75" w:type="dxa"/>
                  </w:tcMar>
                  <w:vAlign w:val="center"/>
                </w:tcPr>
                <w:p w14:paraId="6B729785">
                  <w:pPr>
                    <w:keepNext w:val="0"/>
                    <w:keepLines w:val="0"/>
                    <w:widowControl/>
                    <w:suppressLineNumbers w:val="0"/>
                    <w:spacing w:before="0" w:beforeAutospacing="0" w:after="0" w:afterAutospacing="0" w:line="240" w:lineRule="auto"/>
                    <w:ind w:left="0" w:right="0"/>
                    <w:jc w:val="center"/>
                    <w:rPr>
                      <w:rFonts w:hint="eastAsia" w:eastAsia="宋体"/>
                      <w:color w:val="auto"/>
                      <w:highlight w:val="none"/>
                      <w:lang w:val="en-US" w:eastAsia="zh-CN"/>
                    </w:rPr>
                  </w:pPr>
                  <w:r>
                    <w:rPr>
                      <w:rFonts w:hint="eastAsia"/>
                      <w:color w:val="auto"/>
                      <w:highlight w:val="none"/>
                    </w:rPr>
                    <w:t>TA00</w:t>
                  </w:r>
                  <w:r>
                    <w:rPr>
                      <w:rFonts w:hint="eastAsia"/>
                      <w:color w:val="auto"/>
                      <w:highlight w:val="none"/>
                      <w:lang w:val="en-US" w:eastAsia="zh-CN"/>
                    </w:rPr>
                    <w:t>5</w:t>
                  </w:r>
                </w:p>
              </w:tc>
              <w:tc>
                <w:tcPr>
                  <w:tcW w:w="1031" w:type="dxa"/>
                  <w:vMerge w:val="continue"/>
                  <w:shd w:val="clear" w:color="auto" w:fill="auto"/>
                  <w:noWrap w:val="0"/>
                  <w:tcMar>
                    <w:top w:w="45" w:type="dxa"/>
                    <w:left w:w="75" w:type="dxa"/>
                    <w:bottom w:w="45" w:type="dxa"/>
                    <w:right w:w="75" w:type="dxa"/>
                  </w:tcMar>
                  <w:vAlign w:val="center"/>
                </w:tcPr>
                <w:p w14:paraId="45714F6B">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807" w:type="dxa"/>
                  <w:shd w:val="clear" w:color="auto" w:fill="auto"/>
                  <w:noWrap w:val="0"/>
                  <w:tcMar>
                    <w:top w:w="45" w:type="dxa"/>
                    <w:left w:w="75" w:type="dxa"/>
                    <w:bottom w:w="45" w:type="dxa"/>
                    <w:right w:w="75" w:type="dxa"/>
                  </w:tcMar>
                  <w:vAlign w:val="center"/>
                </w:tcPr>
                <w:p w14:paraId="503EA9EF">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是</w:t>
                  </w:r>
                </w:p>
              </w:tc>
              <w:tc>
                <w:tcPr>
                  <w:tcW w:w="887" w:type="dxa"/>
                  <w:shd w:val="clear" w:color="auto" w:fill="auto"/>
                  <w:noWrap w:val="0"/>
                  <w:tcMar>
                    <w:top w:w="45" w:type="dxa"/>
                    <w:left w:w="75" w:type="dxa"/>
                    <w:bottom w:w="45" w:type="dxa"/>
                    <w:right w:w="75" w:type="dxa"/>
                  </w:tcMar>
                  <w:vAlign w:val="center"/>
                </w:tcPr>
                <w:p w14:paraId="538F52F5">
                  <w:pPr>
                    <w:keepNext w:val="0"/>
                    <w:keepLines w:val="0"/>
                    <w:widowControl/>
                    <w:suppressLineNumbers w:val="0"/>
                    <w:spacing w:before="0" w:beforeAutospacing="0" w:after="0" w:afterAutospacing="0" w:line="240" w:lineRule="auto"/>
                    <w:ind w:left="0" w:right="0"/>
                    <w:jc w:val="center"/>
                    <w:rPr>
                      <w:rFonts w:hint="default" w:eastAsia="宋体"/>
                      <w:color w:val="auto"/>
                      <w:highlight w:val="none"/>
                      <w:lang w:val="en-US" w:eastAsia="zh-CN"/>
                    </w:rPr>
                  </w:pPr>
                  <w:r>
                    <w:rPr>
                      <w:rFonts w:hint="eastAsia"/>
                      <w:color w:val="auto"/>
                      <w:highlight w:val="none"/>
                      <w:lang w:val="en-US" w:eastAsia="zh-CN"/>
                    </w:rPr>
                    <w:t>95</w:t>
                  </w:r>
                </w:p>
              </w:tc>
              <w:tc>
                <w:tcPr>
                  <w:tcW w:w="978" w:type="dxa"/>
                  <w:shd w:val="clear" w:color="auto" w:fill="auto"/>
                  <w:noWrap w:val="0"/>
                  <w:tcMar>
                    <w:top w:w="45" w:type="dxa"/>
                    <w:left w:w="75" w:type="dxa"/>
                    <w:bottom w:w="45" w:type="dxa"/>
                    <w:right w:w="75" w:type="dxa"/>
                  </w:tcMar>
                  <w:vAlign w:val="center"/>
                </w:tcPr>
                <w:p w14:paraId="65077C2A">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lang w:val="en-US" w:eastAsia="zh-CN"/>
                    </w:rPr>
                    <w:t>95</w:t>
                  </w:r>
                </w:p>
              </w:tc>
              <w:tc>
                <w:tcPr>
                  <w:tcW w:w="830" w:type="dxa"/>
                  <w:shd w:val="clear" w:color="auto" w:fill="auto"/>
                  <w:noWrap w:val="0"/>
                  <w:tcMar>
                    <w:top w:w="45" w:type="dxa"/>
                    <w:left w:w="75" w:type="dxa"/>
                    <w:bottom w:w="45" w:type="dxa"/>
                    <w:right w:w="75" w:type="dxa"/>
                  </w:tcMar>
                  <w:vAlign w:val="center"/>
                </w:tcPr>
                <w:p w14:paraId="03060BE9">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DA00</w:t>
                  </w:r>
                  <w:r>
                    <w:rPr>
                      <w:rFonts w:hint="eastAsia"/>
                      <w:color w:val="auto"/>
                      <w:highlight w:val="none"/>
                      <w:lang w:val="en-US" w:eastAsia="zh-CN"/>
                    </w:rPr>
                    <w:t>5</w:t>
                  </w:r>
                </w:p>
              </w:tc>
            </w:tr>
            <w:tr w14:paraId="79335729">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CellMar>
                  <w:top w:w="15" w:type="dxa"/>
                  <w:left w:w="15" w:type="dxa"/>
                  <w:bottom w:w="15" w:type="dxa"/>
                  <w:right w:w="15" w:type="dxa"/>
                </w:tblCellMar>
              </w:tblPrEx>
              <w:trPr>
                <w:trHeight w:val="129" w:hRule="atLeast"/>
                <w:jc w:val="center"/>
              </w:trPr>
              <w:tc>
                <w:tcPr>
                  <w:tcW w:w="870" w:type="dxa"/>
                  <w:vMerge w:val="continue"/>
                  <w:shd w:val="clear" w:color="auto" w:fill="auto"/>
                  <w:noWrap w:val="0"/>
                  <w:tcMar>
                    <w:top w:w="45" w:type="dxa"/>
                    <w:left w:w="75" w:type="dxa"/>
                    <w:bottom w:w="45" w:type="dxa"/>
                    <w:right w:w="75" w:type="dxa"/>
                  </w:tcMar>
                  <w:vAlign w:val="center"/>
                </w:tcPr>
                <w:p w14:paraId="2FD12F64">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739" w:type="dxa"/>
                  <w:vMerge w:val="continue"/>
                  <w:shd w:val="clear" w:color="auto" w:fill="auto"/>
                  <w:noWrap w:val="0"/>
                  <w:tcMar>
                    <w:top w:w="45" w:type="dxa"/>
                    <w:left w:w="75" w:type="dxa"/>
                    <w:bottom w:w="45" w:type="dxa"/>
                    <w:right w:w="75" w:type="dxa"/>
                  </w:tcMar>
                  <w:vAlign w:val="center"/>
                </w:tcPr>
                <w:p w14:paraId="0BBF63D7">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1090" w:type="dxa"/>
                  <w:shd w:val="clear" w:color="auto" w:fill="auto"/>
                  <w:noWrap w:val="0"/>
                  <w:tcMar>
                    <w:top w:w="45" w:type="dxa"/>
                    <w:left w:w="75" w:type="dxa"/>
                    <w:bottom w:w="45" w:type="dxa"/>
                    <w:right w:w="75" w:type="dxa"/>
                  </w:tcMar>
                  <w:vAlign w:val="center"/>
                </w:tcPr>
                <w:p w14:paraId="25AB88B6">
                  <w:pPr>
                    <w:keepNext w:val="0"/>
                    <w:keepLines w:val="0"/>
                    <w:widowControl/>
                    <w:suppressLineNumbers w:val="0"/>
                    <w:spacing w:before="0" w:beforeAutospacing="0" w:after="0" w:afterAutospacing="0" w:line="240" w:lineRule="auto"/>
                    <w:ind w:left="0" w:leftChars="0" w:right="0" w:rightChars="0"/>
                    <w:jc w:val="center"/>
                    <w:rPr>
                      <w:rFonts w:hint="eastAsia"/>
                      <w:color w:val="auto"/>
                      <w:highlight w:val="none"/>
                    </w:rPr>
                  </w:pPr>
                  <w:r>
                    <w:rPr>
                      <w:rFonts w:hint="eastAsia"/>
                      <w:color w:val="auto"/>
                      <w:highlight w:val="none"/>
                      <w:lang w:val="en-US" w:eastAsia="zh-CN"/>
                    </w:rPr>
                    <w:t>有组织</w:t>
                  </w:r>
                </w:p>
              </w:tc>
              <w:tc>
                <w:tcPr>
                  <w:tcW w:w="906" w:type="dxa"/>
                  <w:shd w:val="clear" w:color="auto" w:fill="auto"/>
                  <w:noWrap w:val="0"/>
                  <w:tcMar>
                    <w:top w:w="45" w:type="dxa"/>
                    <w:left w:w="75" w:type="dxa"/>
                    <w:bottom w:w="45" w:type="dxa"/>
                    <w:right w:w="75" w:type="dxa"/>
                  </w:tcMar>
                  <w:vAlign w:val="center"/>
                </w:tcPr>
                <w:p w14:paraId="37215C61">
                  <w:pPr>
                    <w:keepNext w:val="0"/>
                    <w:keepLines w:val="0"/>
                    <w:widowControl/>
                    <w:suppressLineNumbers w:val="0"/>
                    <w:spacing w:before="0" w:beforeAutospacing="0" w:after="0" w:afterAutospacing="0" w:line="240" w:lineRule="auto"/>
                    <w:ind w:left="0" w:right="0"/>
                    <w:jc w:val="center"/>
                    <w:rPr>
                      <w:rFonts w:hint="eastAsia" w:eastAsia="宋体"/>
                      <w:color w:val="auto"/>
                      <w:highlight w:val="none"/>
                      <w:lang w:val="en-US" w:eastAsia="zh-CN"/>
                    </w:rPr>
                  </w:pPr>
                  <w:r>
                    <w:rPr>
                      <w:rFonts w:hint="eastAsia"/>
                      <w:color w:val="auto"/>
                      <w:highlight w:val="none"/>
                    </w:rPr>
                    <w:t>TA00</w:t>
                  </w:r>
                  <w:r>
                    <w:rPr>
                      <w:rFonts w:hint="eastAsia"/>
                      <w:color w:val="auto"/>
                      <w:highlight w:val="none"/>
                      <w:lang w:val="en-US" w:eastAsia="zh-CN"/>
                    </w:rPr>
                    <w:t>6</w:t>
                  </w:r>
                </w:p>
              </w:tc>
              <w:tc>
                <w:tcPr>
                  <w:tcW w:w="1031" w:type="dxa"/>
                  <w:vMerge w:val="continue"/>
                  <w:shd w:val="clear" w:color="auto" w:fill="auto"/>
                  <w:noWrap w:val="0"/>
                  <w:tcMar>
                    <w:top w:w="45" w:type="dxa"/>
                    <w:left w:w="75" w:type="dxa"/>
                    <w:bottom w:w="45" w:type="dxa"/>
                    <w:right w:w="75" w:type="dxa"/>
                  </w:tcMar>
                  <w:vAlign w:val="center"/>
                </w:tcPr>
                <w:p w14:paraId="3D8459CA">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807" w:type="dxa"/>
                  <w:shd w:val="clear" w:color="auto" w:fill="auto"/>
                  <w:noWrap w:val="0"/>
                  <w:tcMar>
                    <w:top w:w="45" w:type="dxa"/>
                    <w:left w:w="75" w:type="dxa"/>
                    <w:bottom w:w="45" w:type="dxa"/>
                    <w:right w:w="75" w:type="dxa"/>
                  </w:tcMar>
                  <w:vAlign w:val="center"/>
                </w:tcPr>
                <w:p w14:paraId="5C6F3203">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是</w:t>
                  </w:r>
                </w:p>
              </w:tc>
              <w:tc>
                <w:tcPr>
                  <w:tcW w:w="887" w:type="dxa"/>
                  <w:shd w:val="clear" w:color="auto" w:fill="auto"/>
                  <w:noWrap w:val="0"/>
                  <w:tcMar>
                    <w:top w:w="45" w:type="dxa"/>
                    <w:left w:w="75" w:type="dxa"/>
                    <w:bottom w:w="45" w:type="dxa"/>
                    <w:right w:w="75" w:type="dxa"/>
                  </w:tcMar>
                  <w:vAlign w:val="center"/>
                </w:tcPr>
                <w:p w14:paraId="0FFCE2B3">
                  <w:pPr>
                    <w:keepNext w:val="0"/>
                    <w:keepLines w:val="0"/>
                    <w:widowControl/>
                    <w:suppressLineNumbers w:val="0"/>
                    <w:spacing w:before="0" w:beforeAutospacing="0" w:after="0" w:afterAutospacing="0" w:line="240" w:lineRule="auto"/>
                    <w:ind w:left="0" w:right="0"/>
                    <w:jc w:val="center"/>
                    <w:rPr>
                      <w:rFonts w:hint="default" w:eastAsia="宋体"/>
                      <w:color w:val="auto"/>
                      <w:highlight w:val="none"/>
                      <w:lang w:val="en-US" w:eastAsia="zh-CN"/>
                    </w:rPr>
                  </w:pPr>
                  <w:r>
                    <w:rPr>
                      <w:rFonts w:hint="eastAsia"/>
                      <w:color w:val="auto"/>
                      <w:highlight w:val="none"/>
                      <w:lang w:val="en-US" w:eastAsia="zh-CN"/>
                    </w:rPr>
                    <w:t>95</w:t>
                  </w:r>
                </w:p>
              </w:tc>
              <w:tc>
                <w:tcPr>
                  <w:tcW w:w="978" w:type="dxa"/>
                  <w:shd w:val="clear" w:color="auto" w:fill="auto"/>
                  <w:noWrap w:val="0"/>
                  <w:tcMar>
                    <w:top w:w="45" w:type="dxa"/>
                    <w:left w:w="75" w:type="dxa"/>
                    <w:bottom w:w="45" w:type="dxa"/>
                    <w:right w:w="75" w:type="dxa"/>
                  </w:tcMar>
                  <w:vAlign w:val="center"/>
                </w:tcPr>
                <w:p w14:paraId="49CE183C">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lang w:val="en-US" w:eastAsia="zh-CN"/>
                    </w:rPr>
                    <w:t>95</w:t>
                  </w:r>
                </w:p>
              </w:tc>
              <w:tc>
                <w:tcPr>
                  <w:tcW w:w="830" w:type="dxa"/>
                  <w:shd w:val="clear" w:color="auto" w:fill="auto"/>
                  <w:noWrap w:val="0"/>
                  <w:tcMar>
                    <w:top w:w="45" w:type="dxa"/>
                    <w:left w:w="75" w:type="dxa"/>
                    <w:bottom w:w="45" w:type="dxa"/>
                    <w:right w:w="75" w:type="dxa"/>
                  </w:tcMar>
                  <w:vAlign w:val="center"/>
                </w:tcPr>
                <w:p w14:paraId="0989D50D">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DA00</w:t>
                  </w:r>
                  <w:r>
                    <w:rPr>
                      <w:rFonts w:hint="eastAsia"/>
                      <w:color w:val="auto"/>
                      <w:highlight w:val="none"/>
                      <w:lang w:val="en-US" w:eastAsia="zh-CN"/>
                    </w:rPr>
                    <w:t>6</w:t>
                  </w:r>
                </w:p>
              </w:tc>
            </w:tr>
            <w:tr w14:paraId="4DAC770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CellMar>
                  <w:top w:w="15" w:type="dxa"/>
                  <w:left w:w="15" w:type="dxa"/>
                  <w:bottom w:w="15" w:type="dxa"/>
                  <w:right w:w="15" w:type="dxa"/>
                </w:tblCellMar>
              </w:tblPrEx>
              <w:trPr>
                <w:trHeight w:val="129" w:hRule="atLeast"/>
                <w:jc w:val="center"/>
              </w:trPr>
              <w:tc>
                <w:tcPr>
                  <w:tcW w:w="870" w:type="dxa"/>
                  <w:vMerge w:val="continue"/>
                  <w:shd w:val="clear" w:color="auto" w:fill="auto"/>
                  <w:noWrap w:val="0"/>
                  <w:tcMar>
                    <w:top w:w="45" w:type="dxa"/>
                    <w:left w:w="75" w:type="dxa"/>
                    <w:bottom w:w="45" w:type="dxa"/>
                    <w:right w:w="75" w:type="dxa"/>
                  </w:tcMar>
                  <w:vAlign w:val="center"/>
                </w:tcPr>
                <w:p w14:paraId="55F384BC">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739" w:type="dxa"/>
                  <w:vMerge w:val="continue"/>
                  <w:shd w:val="clear" w:color="auto" w:fill="auto"/>
                  <w:noWrap w:val="0"/>
                  <w:tcMar>
                    <w:top w:w="45" w:type="dxa"/>
                    <w:left w:w="75" w:type="dxa"/>
                    <w:bottom w:w="45" w:type="dxa"/>
                    <w:right w:w="75" w:type="dxa"/>
                  </w:tcMar>
                  <w:vAlign w:val="center"/>
                </w:tcPr>
                <w:p w14:paraId="784186E5">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1090" w:type="dxa"/>
                  <w:shd w:val="clear" w:color="auto" w:fill="auto"/>
                  <w:noWrap w:val="0"/>
                  <w:tcMar>
                    <w:top w:w="45" w:type="dxa"/>
                    <w:left w:w="75" w:type="dxa"/>
                    <w:bottom w:w="45" w:type="dxa"/>
                    <w:right w:w="75" w:type="dxa"/>
                  </w:tcMar>
                  <w:vAlign w:val="center"/>
                </w:tcPr>
                <w:p w14:paraId="03D6E8D6">
                  <w:pPr>
                    <w:keepNext w:val="0"/>
                    <w:keepLines w:val="0"/>
                    <w:widowControl/>
                    <w:suppressLineNumbers w:val="0"/>
                    <w:spacing w:before="0" w:beforeAutospacing="0" w:after="0" w:afterAutospacing="0" w:line="240" w:lineRule="auto"/>
                    <w:ind w:left="0" w:leftChars="0" w:right="0" w:rightChars="0"/>
                    <w:jc w:val="center"/>
                    <w:rPr>
                      <w:rFonts w:hint="eastAsia"/>
                      <w:color w:val="auto"/>
                      <w:highlight w:val="none"/>
                    </w:rPr>
                  </w:pPr>
                  <w:r>
                    <w:rPr>
                      <w:rFonts w:hint="eastAsia"/>
                      <w:color w:val="auto"/>
                      <w:highlight w:val="none"/>
                      <w:lang w:val="en-US" w:eastAsia="zh-CN"/>
                    </w:rPr>
                    <w:t>有组织</w:t>
                  </w:r>
                </w:p>
              </w:tc>
              <w:tc>
                <w:tcPr>
                  <w:tcW w:w="906" w:type="dxa"/>
                  <w:shd w:val="clear" w:color="auto" w:fill="auto"/>
                  <w:noWrap w:val="0"/>
                  <w:tcMar>
                    <w:top w:w="45" w:type="dxa"/>
                    <w:left w:w="75" w:type="dxa"/>
                    <w:bottom w:w="45" w:type="dxa"/>
                    <w:right w:w="75" w:type="dxa"/>
                  </w:tcMar>
                  <w:vAlign w:val="center"/>
                </w:tcPr>
                <w:p w14:paraId="0DA781DE">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TA00</w:t>
                  </w:r>
                  <w:r>
                    <w:rPr>
                      <w:rFonts w:hint="eastAsia"/>
                      <w:color w:val="auto"/>
                      <w:highlight w:val="none"/>
                      <w:lang w:val="en-US" w:eastAsia="zh-CN"/>
                    </w:rPr>
                    <w:t>7</w:t>
                  </w:r>
                </w:p>
              </w:tc>
              <w:tc>
                <w:tcPr>
                  <w:tcW w:w="1031" w:type="dxa"/>
                  <w:vMerge w:val="continue"/>
                  <w:shd w:val="clear" w:color="auto" w:fill="auto"/>
                  <w:noWrap w:val="0"/>
                  <w:tcMar>
                    <w:top w:w="45" w:type="dxa"/>
                    <w:left w:w="75" w:type="dxa"/>
                    <w:bottom w:w="45" w:type="dxa"/>
                    <w:right w:w="75" w:type="dxa"/>
                  </w:tcMar>
                  <w:vAlign w:val="center"/>
                </w:tcPr>
                <w:p w14:paraId="1C0D3E06">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p>
              </w:tc>
              <w:tc>
                <w:tcPr>
                  <w:tcW w:w="807" w:type="dxa"/>
                  <w:shd w:val="clear" w:color="auto" w:fill="auto"/>
                  <w:noWrap w:val="0"/>
                  <w:tcMar>
                    <w:top w:w="45" w:type="dxa"/>
                    <w:left w:w="75" w:type="dxa"/>
                    <w:bottom w:w="45" w:type="dxa"/>
                    <w:right w:w="75" w:type="dxa"/>
                  </w:tcMar>
                  <w:vAlign w:val="center"/>
                </w:tcPr>
                <w:p w14:paraId="6CBE5944">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是</w:t>
                  </w:r>
                </w:p>
              </w:tc>
              <w:tc>
                <w:tcPr>
                  <w:tcW w:w="887" w:type="dxa"/>
                  <w:shd w:val="clear" w:color="auto" w:fill="auto"/>
                  <w:noWrap w:val="0"/>
                  <w:tcMar>
                    <w:top w:w="45" w:type="dxa"/>
                    <w:left w:w="75" w:type="dxa"/>
                    <w:bottom w:w="45" w:type="dxa"/>
                    <w:right w:w="75" w:type="dxa"/>
                  </w:tcMar>
                  <w:vAlign w:val="center"/>
                </w:tcPr>
                <w:p w14:paraId="3AE93D6A">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95</w:t>
                  </w:r>
                </w:p>
              </w:tc>
              <w:tc>
                <w:tcPr>
                  <w:tcW w:w="978" w:type="dxa"/>
                  <w:shd w:val="clear" w:color="auto" w:fill="auto"/>
                  <w:noWrap w:val="0"/>
                  <w:tcMar>
                    <w:top w:w="45" w:type="dxa"/>
                    <w:left w:w="75" w:type="dxa"/>
                    <w:bottom w:w="45" w:type="dxa"/>
                    <w:right w:w="75" w:type="dxa"/>
                  </w:tcMar>
                  <w:vAlign w:val="center"/>
                </w:tcPr>
                <w:p w14:paraId="26182145">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95</w:t>
                  </w:r>
                </w:p>
              </w:tc>
              <w:tc>
                <w:tcPr>
                  <w:tcW w:w="830" w:type="dxa"/>
                  <w:shd w:val="clear" w:color="auto" w:fill="auto"/>
                  <w:noWrap w:val="0"/>
                  <w:tcMar>
                    <w:top w:w="45" w:type="dxa"/>
                    <w:left w:w="75" w:type="dxa"/>
                    <w:bottom w:w="45" w:type="dxa"/>
                    <w:right w:w="75" w:type="dxa"/>
                  </w:tcMar>
                  <w:vAlign w:val="center"/>
                </w:tcPr>
                <w:p w14:paraId="71A8E7B9">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DA00</w:t>
                  </w:r>
                  <w:r>
                    <w:rPr>
                      <w:rFonts w:hint="eastAsia"/>
                      <w:color w:val="auto"/>
                      <w:highlight w:val="none"/>
                      <w:lang w:val="en-US" w:eastAsia="zh-CN"/>
                    </w:rPr>
                    <w:t>7</w:t>
                  </w:r>
                </w:p>
              </w:tc>
            </w:tr>
            <w:tr w14:paraId="529FB0C2">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FFFFFF"/>
                <w:tblCellMar>
                  <w:top w:w="15" w:type="dxa"/>
                  <w:left w:w="15" w:type="dxa"/>
                  <w:bottom w:w="15" w:type="dxa"/>
                  <w:right w:w="15" w:type="dxa"/>
                </w:tblCellMar>
              </w:tblPrEx>
              <w:trPr>
                <w:trHeight w:val="129" w:hRule="atLeast"/>
                <w:jc w:val="center"/>
              </w:trPr>
              <w:tc>
                <w:tcPr>
                  <w:tcW w:w="870" w:type="dxa"/>
                  <w:vMerge w:val="continue"/>
                  <w:shd w:val="clear" w:color="auto" w:fill="auto"/>
                  <w:noWrap w:val="0"/>
                  <w:tcMar>
                    <w:top w:w="45" w:type="dxa"/>
                    <w:left w:w="75" w:type="dxa"/>
                    <w:bottom w:w="45" w:type="dxa"/>
                    <w:right w:w="75" w:type="dxa"/>
                  </w:tcMar>
                  <w:vAlign w:val="center"/>
                </w:tcPr>
                <w:p w14:paraId="15CC66EE">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739" w:type="dxa"/>
                  <w:vMerge w:val="continue"/>
                  <w:shd w:val="clear" w:color="auto" w:fill="auto"/>
                  <w:noWrap w:val="0"/>
                  <w:tcMar>
                    <w:top w:w="45" w:type="dxa"/>
                    <w:left w:w="75" w:type="dxa"/>
                    <w:bottom w:w="45" w:type="dxa"/>
                    <w:right w:w="75" w:type="dxa"/>
                  </w:tcMar>
                  <w:vAlign w:val="center"/>
                </w:tcPr>
                <w:p w14:paraId="68624DCA">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1090" w:type="dxa"/>
                  <w:shd w:val="clear" w:color="auto" w:fill="auto"/>
                  <w:noWrap w:val="0"/>
                  <w:tcMar>
                    <w:top w:w="45" w:type="dxa"/>
                    <w:left w:w="75" w:type="dxa"/>
                    <w:bottom w:w="45" w:type="dxa"/>
                    <w:right w:w="75" w:type="dxa"/>
                  </w:tcMar>
                  <w:vAlign w:val="center"/>
                </w:tcPr>
                <w:p w14:paraId="547D3D87">
                  <w:pPr>
                    <w:keepNext w:val="0"/>
                    <w:keepLines w:val="0"/>
                    <w:widowControl/>
                    <w:suppressLineNumbers w:val="0"/>
                    <w:spacing w:before="0" w:beforeAutospacing="0" w:after="0" w:afterAutospacing="0" w:line="240" w:lineRule="auto"/>
                    <w:ind w:left="0" w:leftChars="0" w:right="0" w:rightChars="0"/>
                    <w:jc w:val="center"/>
                    <w:rPr>
                      <w:rFonts w:hint="eastAsia"/>
                      <w:color w:val="auto"/>
                      <w:highlight w:val="none"/>
                    </w:rPr>
                  </w:pPr>
                  <w:r>
                    <w:rPr>
                      <w:rFonts w:hint="eastAsia"/>
                      <w:color w:val="auto"/>
                      <w:highlight w:val="none"/>
                      <w:lang w:val="en-US" w:eastAsia="zh-CN"/>
                    </w:rPr>
                    <w:t>有组织</w:t>
                  </w:r>
                </w:p>
              </w:tc>
              <w:tc>
                <w:tcPr>
                  <w:tcW w:w="906" w:type="dxa"/>
                  <w:shd w:val="clear" w:color="auto" w:fill="auto"/>
                  <w:noWrap w:val="0"/>
                  <w:tcMar>
                    <w:top w:w="45" w:type="dxa"/>
                    <w:left w:w="75" w:type="dxa"/>
                    <w:bottom w:w="45" w:type="dxa"/>
                    <w:right w:w="75" w:type="dxa"/>
                  </w:tcMar>
                  <w:vAlign w:val="center"/>
                </w:tcPr>
                <w:p w14:paraId="5819DD20">
                  <w:pPr>
                    <w:keepNext w:val="0"/>
                    <w:keepLines w:val="0"/>
                    <w:widowControl/>
                    <w:suppressLineNumbers w:val="0"/>
                    <w:spacing w:before="0" w:beforeAutospacing="0" w:after="0" w:afterAutospacing="0" w:line="240" w:lineRule="auto"/>
                    <w:ind w:left="0" w:right="0"/>
                    <w:jc w:val="center"/>
                    <w:rPr>
                      <w:rFonts w:hint="eastAsia" w:eastAsia="宋体"/>
                      <w:color w:val="auto"/>
                      <w:highlight w:val="none"/>
                      <w:lang w:val="en-US" w:eastAsia="zh-CN"/>
                    </w:rPr>
                  </w:pPr>
                  <w:r>
                    <w:rPr>
                      <w:rFonts w:hint="eastAsia"/>
                      <w:color w:val="auto"/>
                      <w:highlight w:val="none"/>
                    </w:rPr>
                    <w:t>TA00</w:t>
                  </w:r>
                  <w:r>
                    <w:rPr>
                      <w:rFonts w:hint="eastAsia"/>
                      <w:color w:val="auto"/>
                      <w:highlight w:val="none"/>
                      <w:lang w:val="en-US" w:eastAsia="zh-CN"/>
                    </w:rPr>
                    <w:t>8</w:t>
                  </w:r>
                </w:p>
              </w:tc>
              <w:tc>
                <w:tcPr>
                  <w:tcW w:w="1031" w:type="dxa"/>
                  <w:vMerge w:val="continue"/>
                  <w:shd w:val="clear" w:color="auto" w:fill="auto"/>
                  <w:noWrap w:val="0"/>
                  <w:tcMar>
                    <w:top w:w="45" w:type="dxa"/>
                    <w:left w:w="75" w:type="dxa"/>
                    <w:bottom w:w="45" w:type="dxa"/>
                    <w:right w:w="75" w:type="dxa"/>
                  </w:tcMar>
                  <w:vAlign w:val="center"/>
                </w:tcPr>
                <w:p w14:paraId="76818BC8">
                  <w:pPr>
                    <w:keepNext w:val="0"/>
                    <w:keepLines w:val="0"/>
                    <w:widowControl/>
                    <w:suppressLineNumbers w:val="0"/>
                    <w:spacing w:before="0" w:beforeAutospacing="0" w:after="0" w:afterAutospacing="0" w:line="240" w:lineRule="auto"/>
                    <w:ind w:left="0" w:right="0"/>
                    <w:jc w:val="center"/>
                    <w:rPr>
                      <w:rFonts w:hint="eastAsia"/>
                      <w:color w:val="auto"/>
                      <w:highlight w:val="none"/>
                    </w:rPr>
                  </w:pPr>
                </w:p>
              </w:tc>
              <w:tc>
                <w:tcPr>
                  <w:tcW w:w="807" w:type="dxa"/>
                  <w:shd w:val="clear" w:color="auto" w:fill="auto"/>
                  <w:noWrap w:val="0"/>
                  <w:tcMar>
                    <w:top w:w="45" w:type="dxa"/>
                    <w:left w:w="75" w:type="dxa"/>
                    <w:bottom w:w="45" w:type="dxa"/>
                    <w:right w:w="75" w:type="dxa"/>
                  </w:tcMar>
                  <w:vAlign w:val="center"/>
                </w:tcPr>
                <w:p w14:paraId="6A186056">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是</w:t>
                  </w:r>
                </w:p>
              </w:tc>
              <w:tc>
                <w:tcPr>
                  <w:tcW w:w="887" w:type="dxa"/>
                  <w:shd w:val="clear" w:color="auto" w:fill="auto"/>
                  <w:noWrap w:val="0"/>
                  <w:tcMar>
                    <w:top w:w="45" w:type="dxa"/>
                    <w:left w:w="75" w:type="dxa"/>
                    <w:bottom w:w="45" w:type="dxa"/>
                    <w:right w:w="75" w:type="dxa"/>
                  </w:tcMar>
                  <w:vAlign w:val="center"/>
                </w:tcPr>
                <w:p w14:paraId="28552F6F">
                  <w:pPr>
                    <w:keepNext w:val="0"/>
                    <w:keepLines w:val="0"/>
                    <w:widowControl/>
                    <w:suppressLineNumbers w:val="0"/>
                    <w:spacing w:before="0" w:beforeAutospacing="0" w:after="0" w:afterAutospacing="0" w:line="240" w:lineRule="auto"/>
                    <w:ind w:left="0" w:right="0"/>
                    <w:jc w:val="center"/>
                    <w:rPr>
                      <w:rFonts w:hint="default" w:eastAsia="宋体"/>
                      <w:color w:val="auto"/>
                      <w:highlight w:val="none"/>
                      <w:lang w:val="en-US" w:eastAsia="zh-CN"/>
                    </w:rPr>
                  </w:pPr>
                  <w:r>
                    <w:rPr>
                      <w:rFonts w:hint="eastAsia"/>
                      <w:color w:val="auto"/>
                      <w:highlight w:val="none"/>
                      <w:lang w:val="en-US" w:eastAsia="zh-CN"/>
                    </w:rPr>
                    <w:t>95</w:t>
                  </w:r>
                </w:p>
              </w:tc>
              <w:tc>
                <w:tcPr>
                  <w:tcW w:w="978" w:type="dxa"/>
                  <w:shd w:val="clear" w:color="auto" w:fill="auto"/>
                  <w:noWrap w:val="0"/>
                  <w:tcMar>
                    <w:top w:w="45" w:type="dxa"/>
                    <w:left w:w="75" w:type="dxa"/>
                    <w:bottom w:w="45" w:type="dxa"/>
                    <w:right w:w="75" w:type="dxa"/>
                  </w:tcMar>
                  <w:vAlign w:val="center"/>
                </w:tcPr>
                <w:p w14:paraId="0774479A">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lang w:val="en-US" w:eastAsia="zh-CN"/>
                    </w:rPr>
                    <w:t>95</w:t>
                  </w:r>
                </w:p>
              </w:tc>
              <w:tc>
                <w:tcPr>
                  <w:tcW w:w="830" w:type="dxa"/>
                  <w:shd w:val="clear" w:color="auto" w:fill="auto"/>
                  <w:noWrap w:val="0"/>
                  <w:tcMar>
                    <w:top w:w="45" w:type="dxa"/>
                    <w:left w:w="75" w:type="dxa"/>
                    <w:bottom w:w="45" w:type="dxa"/>
                    <w:right w:w="75" w:type="dxa"/>
                  </w:tcMar>
                  <w:vAlign w:val="center"/>
                </w:tcPr>
                <w:p w14:paraId="7FE7C05D">
                  <w:pPr>
                    <w:keepNext w:val="0"/>
                    <w:keepLines w:val="0"/>
                    <w:widowControl/>
                    <w:suppressLineNumbers w:val="0"/>
                    <w:spacing w:before="0" w:beforeAutospacing="0" w:after="0" w:afterAutospacing="0" w:line="240" w:lineRule="auto"/>
                    <w:ind w:left="0" w:right="0"/>
                    <w:jc w:val="center"/>
                    <w:rPr>
                      <w:rFonts w:hint="eastAsia"/>
                      <w:color w:val="auto"/>
                      <w:highlight w:val="none"/>
                    </w:rPr>
                  </w:pPr>
                  <w:r>
                    <w:rPr>
                      <w:rFonts w:hint="eastAsia"/>
                      <w:color w:val="auto"/>
                      <w:highlight w:val="none"/>
                    </w:rPr>
                    <w:t>DA00</w:t>
                  </w:r>
                  <w:r>
                    <w:rPr>
                      <w:rFonts w:hint="eastAsia"/>
                      <w:color w:val="auto"/>
                      <w:highlight w:val="none"/>
                      <w:lang w:val="en-US" w:eastAsia="zh-CN"/>
                    </w:rPr>
                    <w:t>8</w:t>
                  </w:r>
                </w:p>
              </w:tc>
            </w:tr>
          </w:tbl>
          <w:p w14:paraId="296DCE59">
            <w:pPr>
              <w:keepNext w:val="0"/>
              <w:keepLines w:val="0"/>
              <w:suppressLineNumbers w:val="0"/>
              <w:spacing w:before="0" w:beforeAutospacing="0" w:after="0" w:afterAutospacing="0"/>
              <w:ind w:left="0" w:right="0" w:firstLine="422" w:firstLineChars="200"/>
              <w:rPr>
                <w:rFonts w:hint="eastAsia"/>
                <w:b/>
                <w:bCs/>
                <w:color w:val="auto"/>
                <w:szCs w:val="21"/>
                <w:highlight w:val="none"/>
              </w:rPr>
            </w:pPr>
            <w:r>
              <w:rPr>
                <w:rFonts w:hint="eastAsia"/>
                <w:b/>
                <w:bCs/>
                <w:color w:val="auto"/>
                <w:szCs w:val="21"/>
                <w:highlight w:val="none"/>
              </w:rPr>
              <w:t>（2）废气可行性技术分析</w:t>
            </w:r>
          </w:p>
          <w:p w14:paraId="595967F5">
            <w:pPr>
              <w:keepNext w:val="0"/>
              <w:keepLines w:val="0"/>
              <w:suppressLineNumbers w:val="0"/>
              <w:spacing w:before="0" w:beforeAutospacing="0" w:after="0" w:afterAutospacing="0"/>
              <w:ind w:left="0" w:right="0" w:firstLine="422" w:firstLineChars="200"/>
              <w:rPr>
                <w:rFonts w:hint="default"/>
                <w:b/>
                <w:bCs/>
                <w:color w:val="auto"/>
                <w:szCs w:val="21"/>
                <w:highlight w:val="none"/>
              </w:rPr>
            </w:pPr>
            <w:r>
              <w:rPr>
                <w:rFonts w:hint="eastAsia"/>
                <w:b/>
                <w:bCs/>
                <w:color w:val="auto"/>
                <w:szCs w:val="21"/>
                <w:highlight w:val="none"/>
                <w:lang w:val="en-US" w:eastAsia="zh-CN"/>
              </w:rPr>
              <w:t>脉冲</w:t>
            </w:r>
            <w:r>
              <w:rPr>
                <w:rFonts w:hint="eastAsia"/>
                <w:b/>
                <w:bCs/>
                <w:color w:val="auto"/>
                <w:szCs w:val="21"/>
                <w:highlight w:val="none"/>
              </w:rPr>
              <w:t>布袋除尘器</w:t>
            </w:r>
            <w:r>
              <w:rPr>
                <w:rFonts w:hint="default"/>
                <w:b/>
                <w:bCs/>
                <w:color w:val="auto"/>
                <w:szCs w:val="21"/>
                <w:highlight w:val="none"/>
              </w:rPr>
              <w:t>工作原理：</w:t>
            </w:r>
          </w:p>
          <w:p w14:paraId="4C65F8D4">
            <w:pPr>
              <w:keepNext w:val="0"/>
              <w:keepLines w:val="0"/>
              <w:suppressLineNumbers w:val="0"/>
              <w:spacing w:before="0" w:beforeAutospacing="0" w:after="0" w:afterAutospacing="0"/>
              <w:ind w:left="0" w:right="0" w:firstLine="420" w:firstLineChars="200"/>
              <w:rPr>
                <w:rFonts w:hint="eastAsia"/>
                <w:color w:val="auto"/>
                <w:highlight w:val="none"/>
              </w:rPr>
            </w:pPr>
            <w:r>
              <w:rPr>
                <w:rFonts w:hint="eastAsia"/>
                <w:color w:val="auto"/>
                <w:highlight w:val="none"/>
              </w:rPr>
              <w:t>①重力沉降作用——含尘气体进入布袋除尘器时，颗粒大、比重大的粉尘，在重力作用下沉降下来。</w:t>
            </w:r>
          </w:p>
          <w:p w14:paraId="6126B4B6">
            <w:pPr>
              <w:keepNext w:val="0"/>
              <w:keepLines w:val="0"/>
              <w:suppressLineNumbers w:val="0"/>
              <w:spacing w:before="0" w:beforeAutospacing="0" w:after="0" w:afterAutospacing="0"/>
              <w:ind w:left="0" w:right="0" w:firstLine="420" w:firstLineChars="200"/>
              <w:rPr>
                <w:rFonts w:hint="eastAsia"/>
                <w:color w:val="auto"/>
                <w:highlight w:val="none"/>
              </w:rPr>
            </w:pPr>
            <w:r>
              <w:rPr>
                <w:rFonts w:hint="eastAsia"/>
                <w:color w:val="auto"/>
                <w:highlight w:val="none"/>
              </w:rPr>
              <w:t>②筛滤作用——当粉尘的颗粒直径较滤料的纤维间的空隙或滤料上粉尘间的间隙大时，粉尘在气流通过时即被阻留下来。</w:t>
            </w:r>
          </w:p>
          <w:p w14:paraId="0D750ECC">
            <w:pPr>
              <w:keepNext w:val="0"/>
              <w:keepLines w:val="0"/>
              <w:suppressLineNumbers w:val="0"/>
              <w:spacing w:before="0" w:beforeAutospacing="0" w:after="0" w:afterAutospacing="0"/>
              <w:ind w:left="0" w:right="0" w:firstLine="420" w:firstLineChars="200"/>
              <w:rPr>
                <w:rFonts w:hint="eastAsia"/>
                <w:color w:val="auto"/>
                <w:highlight w:val="none"/>
              </w:rPr>
            </w:pPr>
            <w:r>
              <w:rPr>
                <w:rFonts w:hint="eastAsia"/>
                <w:color w:val="auto"/>
                <w:highlight w:val="none"/>
              </w:rPr>
              <w:t>③惯性力作用——气流通过滤料时，可绕纤维而过，而较大的粉尘颗粒在惯性力的作用下，仍按原方向运动，遂与滤料相撞而被捕获。</w:t>
            </w:r>
          </w:p>
          <w:p w14:paraId="04069E06">
            <w:pPr>
              <w:keepNext w:val="0"/>
              <w:keepLines w:val="0"/>
              <w:suppressLineNumbers w:val="0"/>
              <w:spacing w:before="0" w:beforeAutospacing="0" w:after="0" w:afterAutospacing="0"/>
              <w:ind w:left="0" w:right="0" w:firstLine="420" w:firstLineChars="200"/>
              <w:rPr>
                <w:rFonts w:hint="eastAsia"/>
                <w:color w:val="auto"/>
                <w:highlight w:val="none"/>
              </w:rPr>
            </w:pPr>
            <w:r>
              <w:rPr>
                <w:rFonts w:hint="eastAsia"/>
                <w:color w:val="auto"/>
                <w:highlight w:val="none"/>
              </w:rPr>
              <w:t>④热运动作用——质轻体小的粉尘</w:t>
            </w:r>
            <w:r>
              <w:rPr>
                <w:rFonts w:hint="eastAsia" w:ascii="宋体" w:hAnsi="宋体" w:cs="宋体"/>
                <w:color w:val="auto"/>
                <w:highlight w:val="none"/>
              </w:rPr>
              <w:t>(</w:t>
            </w:r>
            <w:r>
              <w:rPr>
                <w:rFonts w:hint="eastAsia"/>
                <w:color w:val="auto"/>
                <w:highlight w:val="none"/>
              </w:rPr>
              <w:t>1微米以下</w:t>
            </w:r>
            <w:r>
              <w:rPr>
                <w:rFonts w:hint="eastAsia" w:ascii="宋体" w:hAnsi="宋体" w:cs="宋体"/>
                <w:color w:val="auto"/>
                <w:highlight w:val="none"/>
              </w:rPr>
              <w:t>)</w:t>
            </w:r>
            <w:r>
              <w:rPr>
                <w:rFonts w:hint="eastAsia"/>
                <w:color w:val="auto"/>
                <w:highlight w:val="none"/>
              </w:rPr>
              <w:t>，随气流运动，非常接近于气流流线，能绕过纤维。但它们在受到作热运动</w:t>
            </w:r>
            <w:r>
              <w:rPr>
                <w:rFonts w:hint="eastAsia" w:ascii="宋体" w:hAnsi="宋体" w:cs="宋体"/>
                <w:color w:val="auto"/>
                <w:highlight w:val="none"/>
              </w:rPr>
              <w:t>(</w:t>
            </w:r>
            <w:r>
              <w:rPr>
                <w:rFonts w:hint="eastAsia"/>
                <w:color w:val="auto"/>
                <w:highlight w:val="none"/>
              </w:rPr>
              <w:t>即布朗运动</w:t>
            </w:r>
            <w:r>
              <w:rPr>
                <w:rFonts w:hint="eastAsia" w:ascii="宋体" w:hAnsi="宋体" w:cs="宋体"/>
                <w:color w:val="auto"/>
                <w:highlight w:val="none"/>
              </w:rPr>
              <w:t>)</w:t>
            </w:r>
            <w:r>
              <w:rPr>
                <w:rFonts w:hint="eastAsia"/>
                <w:color w:val="auto"/>
                <w:highlight w:val="none"/>
              </w:rPr>
              <w:t>的气体分子的碰撞之后，便改变原来的运动方向，这就增加了粉尘与纤维的接触机会，使粉尘能够被捕获。当滤料纤维直径越细，空隙率越小、其捕获率就越高，所以越有利于除尘。</w:t>
            </w:r>
          </w:p>
          <w:p w14:paraId="4D71A666">
            <w:pPr>
              <w:pStyle w:val="24"/>
              <w:keepNext w:val="0"/>
              <w:keepLines w:val="0"/>
              <w:suppressLineNumbers w:val="0"/>
              <w:spacing w:before="0" w:beforeAutospacing="0" w:after="0"/>
              <w:ind w:right="0" w:firstLine="420" w:firstLineChars="200"/>
              <w:jc w:val="left"/>
              <w:rPr>
                <w:rFonts w:hint="eastAsia" w:eastAsia="宋体"/>
                <w:color w:val="auto"/>
                <w:sz w:val="21"/>
                <w:szCs w:val="21"/>
                <w:highlight w:val="none"/>
                <w:lang w:eastAsia="zh-CN"/>
              </w:rPr>
            </w:pPr>
            <w:r>
              <w:rPr>
                <w:rFonts w:hint="eastAsia"/>
                <w:color w:val="auto"/>
                <w:sz w:val="21"/>
                <w:szCs w:val="21"/>
                <w:highlight w:val="none"/>
              </w:rPr>
              <w:t>参考《废气处理工程技术手册》（王纯，张殿印主编）第四章第四节袋式除尘器可知，“袋式除尘器对净化含微米或亚微米数量级的粉尘粒子的气体效率较高，一般可达99%”，日常稳定效率按95%分析，故</w:t>
            </w:r>
            <w:r>
              <w:rPr>
                <w:rFonts w:hint="eastAsia"/>
                <w:color w:val="auto"/>
                <w:sz w:val="21"/>
                <w:szCs w:val="21"/>
                <w:highlight w:val="none"/>
                <w:lang w:val="en-US" w:eastAsia="zh-CN"/>
              </w:rPr>
              <w:t>脉冲布袋</w:t>
            </w:r>
            <w:r>
              <w:rPr>
                <w:rFonts w:hint="eastAsia"/>
                <w:color w:val="auto"/>
                <w:sz w:val="21"/>
                <w:szCs w:val="21"/>
                <w:highlight w:val="none"/>
              </w:rPr>
              <w:t>除尘器对颗粒物的处理效率按95%计算。因此，</w:t>
            </w:r>
            <w:r>
              <w:rPr>
                <w:rFonts w:hint="default"/>
                <w:color w:val="auto"/>
                <w:sz w:val="21"/>
                <w:szCs w:val="21"/>
                <w:highlight w:val="none"/>
              </w:rPr>
              <w:t>本次</w:t>
            </w:r>
            <w:r>
              <w:rPr>
                <w:rFonts w:hint="eastAsia"/>
                <w:color w:val="auto"/>
                <w:sz w:val="21"/>
                <w:szCs w:val="21"/>
                <w:highlight w:val="none"/>
                <w:lang w:val="en-US" w:eastAsia="zh-CN"/>
              </w:rPr>
              <w:t>木浆粉碎、芯体成型工序</w:t>
            </w:r>
            <w:r>
              <w:rPr>
                <w:rFonts w:hint="eastAsia"/>
                <w:color w:val="auto"/>
                <w:sz w:val="21"/>
                <w:szCs w:val="21"/>
                <w:highlight w:val="none"/>
              </w:rPr>
              <w:t>的颗粒物</w:t>
            </w:r>
            <w:r>
              <w:rPr>
                <w:rFonts w:hint="default"/>
                <w:color w:val="auto"/>
                <w:sz w:val="21"/>
                <w:szCs w:val="21"/>
                <w:highlight w:val="none"/>
              </w:rPr>
              <w:t>处理效率取</w:t>
            </w:r>
            <w:r>
              <w:rPr>
                <w:rFonts w:hint="eastAsia"/>
                <w:color w:val="auto"/>
                <w:sz w:val="21"/>
                <w:szCs w:val="21"/>
                <w:highlight w:val="none"/>
                <w:lang w:val="en-US" w:eastAsia="zh-CN"/>
              </w:rPr>
              <w:t>95</w:t>
            </w:r>
            <w:r>
              <w:rPr>
                <w:rFonts w:hint="default"/>
                <w:color w:val="auto"/>
                <w:sz w:val="21"/>
                <w:szCs w:val="21"/>
                <w:highlight w:val="none"/>
              </w:rPr>
              <w:t>%。</w:t>
            </w:r>
            <w:r>
              <w:rPr>
                <w:rFonts w:hint="eastAsia" w:ascii="宋体" w:hAnsi="宋体" w:cs="宋体"/>
                <w:color w:val="auto"/>
                <w:sz w:val="21"/>
                <w:szCs w:val="21"/>
                <w:highlight w:val="none"/>
              </w:rPr>
              <w:t>处理效率较高，且设备简单、投资小，比较适合本项目粉尘的治理。</w:t>
            </w:r>
            <w:r>
              <w:rPr>
                <w:rFonts w:hint="default"/>
                <w:color w:val="auto"/>
                <w:sz w:val="21"/>
                <w:szCs w:val="21"/>
                <w:highlight w:val="none"/>
              </w:rPr>
              <w:t>项目</w:t>
            </w:r>
            <w:r>
              <w:rPr>
                <w:rFonts w:hint="eastAsia"/>
                <w:color w:val="auto"/>
                <w:sz w:val="21"/>
                <w:szCs w:val="21"/>
                <w:highlight w:val="none"/>
                <w:lang w:val="en-US" w:eastAsia="zh-CN"/>
              </w:rPr>
              <w:t>木浆粉碎、芯体成型</w:t>
            </w:r>
            <w:r>
              <w:rPr>
                <w:rFonts w:hint="eastAsia"/>
                <w:color w:val="auto"/>
                <w:sz w:val="21"/>
                <w:szCs w:val="21"/>
                <w:highlight w:val="none"/>
              </w:rPr>
              <w:t>粉尘</w:t>
            </w:r>
            <w:r>
              <w:rPr>
                <w:rFonts w:hint="default"/>
                <w:color w:val="auto"/>
                <w:sz w:val="21"/>
                <w:szCs w:val="21"/>
                <w:highlight w:val="none"/>
              </w:rPr>
              <w:t>经</w:t>
            </w:r>
            <w:r>
              <w:rPr>
                <w:rFonts w:hint="eastAsia"/>
                <w:color w:val="auto"/>
                <w:sz w:val="21"/>
                <w:szCs w:val="21"/>
                <w:highlight w:val="none"/>
                <w:lang w:val="en-US" w:eastAsia="zh-CN"/>
              </w:rPr>
              <w:t>脉冲</w:t>
            </w:r>
            <w:r>
              <w:rPr>
                <w:rFonts w:hint="eastAsia" w:ascii="宋体" w:hAnsi="宋体" w:cs="宋体"/>
                <w:bCs/>
                <w:color w:val="auto"/>
                <w:sz w:val="21"/>
                <w:szCs w:val="21"/>
                <w:highlight w:val="none"/>
              </w:rPr>
              <w:t>布袋除尘器</w:t>
            </w:r>
            <w:r>
              <w:rPr>
                <w:rFonts w:hint="default"/>
                <w:color w:val="auto"/>
                <w:sz w:val="21"/>
                <w:szCs w:val="21"/>
                <w:highlight w:val="none"/>
              </w:rPr>
              <w:t>处理后可达标排放，因此措施可行。</w:t>
            </w:r>
            <w:bookmarkStart w:id="29" w:name="OLE_LINK73"/>
          </w:p>
          <w:p w14:paraId="5CF057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outlineLvl w:val="9"/>
              <w:rPr>
                <w:rFonts w:hint="default" w:ascii="Times New Roman" w:hAnsi="Times New Roman" w:eastAsia="宋体" w:cs="Times New Roman"/>
                <w:b/>
                <w:bCs/>
                <w:color w:val="000000"/>
                <w:sz w:val="21"/>
                <w:szCs w:val="21"/>
                <w:lang w:val="en-US" w:eastAsia="zh-CN"/>
              </w:rPr>
            </w:pPr>
            <w:r>
              <w:rPr>
                <w:rFonts w:hint="eastAsia"/>
                <w:b/>
                <w:bCs/>
                <w:color w:val="000000"/>
                <w:lang w:val="en-US" w:eastAsia="zh-CN"/>
              </w:rPr>
              <w:t>（3）</w:t>
            </w:r>
            <w:r>
              <w:rPr>
                <w:rFonts w:hint="eastAsia" w:cs="Times New Roman"/>
                <w:b/>
                <w:bCs/>
                <w:color w:val="000000"/>
                <w:sz w:val="21"/>
                <w:szCs w:val="21"/>
                <w:lang w:val="en-US" w:eastAsia="zh-CN"/>
              </w:rPr>
              <w:t>粉尘无组织排放控制措施要求</w:t>
            </w:r>
          </w:p>
          <w:p w14:paraId="20CE7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default"/>
                <w:color w:val="000000"/>
              </w:rPr>
            </w:pPr>
            <w:r>
              <w:rPr>
                <w:rFonts w:hint="eastAsia"/>
                <w:sz w:val="21"/>
                <w:szCs w:val="21"/>
              </w:rPr>
              <w:t>项目生产</w:t>
            </w:r>
            <w:r>
              <w:rPr>
                <w:rFonts w:hint="eastAsia"/>
                <w:sz w:val="21"/>
                <w:szCs w:val="21"/>
                <w:lang w:val="en-US" w:eastAsia="zh-CN"/>
              </w:rPr>
              <w:t>经期裤</w:t>
            </w:r>
            <w:r>
              <w:rPr>
                <w:rFonts w:hint="eastAsia"/>
                <w:sz w:val="21"/>
                <w:szCs w:val="21"/>
              </w:rPr>
              <w:t>、</w:t>
            </w:r>
            <w:r>
              <w:rPr>
                <w:rFonts w:hint="eastAsia"/>
                <w:sz w:val="21"/>
                <w:szCs w:val="21"/>
                <w:lang w:val="en-US" w:eastAsia="zh-CN"/>
              </w:rPr>
              <w:t>护垫、</w:t>
            </w:r>
            <w:r>
              <w:rPr>
                <w:rFonts w:hint="eastAsia"/>
                <w:sz w:val="21"/>
                <w:szCs w:val="21"/>
              </w:rPr>
              <w:t>卫生巾等卫生用品，生产线整体密闭负压，经</w:t>
            </w:r>
            <w:r>
              <w:rPr>
                <w:rFonts w:hint="eastAsia"/>
                <w:sz w:val="21"/>
                <w:szCs w:val="21"/>
                <w:lang w:val="en-US" w:eastAsia="zh-CN"/>
              </w:rPr>
              <w:t>脉冲布袋</w:t>
            </w:r>
            <w:r>
              <w:rPr>
                <w:rFonts w:hint="eastAsia"/>
                <w:sz w:val="21"/>
                <w:szCs w:val="21"/>
              </w:rPr>
              <w:t>除尘器处理后可达标排放</w:t>
            </w:r>
            <w:r>
              <w:rPr>
                <w:rFonts w:hint="eastAsia"/>
                <w:sz w:val="21"/>
                <w:szCs w:val="21"/>
                <w:lang w:eastAsia="zh-CN"/>
              </w:rPr>
              <w:t>，</w:t>
            </w:r>
            <w:r>
              <w:rPr>
                <w:rFonts w:hint="eastAsia"/>
                <w:sz w:val="21"/>
                <w:szCs w:val="21"/>
                <w:lang w:val="en-US" w:eastAsia="zh-CN"/>
              </w:rPr>
              <w:t>且生产车间每层设置卷帘门，</w:t>
            </w:r>
            <w:r>
              <w:rPr>
                <w:rFonts w:hint="eastAsia"/>
                <w:sz w:val="21"/>
                <w:szCs w:val="21"/>
              </w:rPr>
              <w:t>避免了生产过程废气污染物对外环境的影响</w:t>
            </w:r>
            <w:r>
              <w:rPr>
                <w:rFonts w:hint="eastAsia"/>
                <w:sz w:val="21"/>
                <w:szCs w:val="21"/>
                <w:lang w:eastAsia="zh-CN"/>
              </w:rPr>
              <w:t>。</w:t>
            </w:r>
          </w:p>
          <w:p w14:paraId="355C35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000000"/>
              </w:rPr>
            </w:pPr>
            <w:r>
              <w:rPr>
                <w:rFonts w:hint="default"/>
                <w:color w:val="000000"/>
              </w:rPr>
              <w:t>同时企业需加强管理，如设备定期检修、维护，建立巡视制度等。加强操作人员的岗位操作技能培训，提高操作人员的操作技能，加强废气的收集处理措施管理与维护，避免因人为操作失误引起的废气无组织逸散。</w:t>
            </w:r>
          </w:p>
          <w:p w14:paraId="413F2541">
            <w:pPr>
              <w:pStyle w:val="24"/>
              <w:keepNext w:val="0"/>
              <w:keepLines w:val="0"/>
              <w:suppressLineNumbers w:val="0"/>
              <w:spacing w:before="0" w:beforeAutospacing="0" w:after="0"/>
              <w:ind w:right="0" w:firstLine="420" w:firstLineChars="200"/>
              <w:jc w:val="left"/>
              <w:rPr>
                <w:rFonts w:hint="default"/>
                <w:color w:val="auto"/>
                <w:sz w:val="21"/>
                <w:szCs w:val="21"/>
                <w:highlight w:val="none"/>
              </w:rPr>
            </w:pPr>
            <w:r>
              <w:rPr>
                <w:rFonts w:hint="default" w:ascii="Times New Roman" w:hAnsi="Times New Roman" w:eastAsia="宋体" w:cs="Times New Roman"/>
                <w:color w:val="000000"/>
                <w:sz w:val="21"/>
                <w:szCs w:val="21"/>
                <w:lang w:val="en-US" w:eastAsia="zh-CN"/>
              </w:rPr>
              <w:t>通过以上无组织废气控制措施，项目厂区内无组织排放废气可得到有效控制，对周围环境影响不大</w:t>
            </w:r>
            <w:r>
              <w:rPr>
                <w:rFonts w:hint="eastAsia" w:cs="Times New Roman"/>
                <w:color w:val="000000"/>
                <w:sz w:val="21"/>
                <w:szCs w:val="21"/>
                <w:lang w:val="en-US" w:eastAsia="zh-CN"/>
              </w:rPr>
              <w:t>，</w:t>
            </w:r>
            <w:r>
              <w:rPr>
                <w:rFonts w:hint="eastAsia" w:ascii="Times New Roman" w:hAnsi="Times New Roman" w:eastAsia="宋体" w:cs="Times New Roman"/>
                <w:color w:val="000000"/>
                <w:sz w:val="21"/>
                <w:szCs w:val="21"/>
                <w:lang w:val="en-US" w:eastAsia="zh-CN"/>
              </w:rPr>
              <w:t>措施可行</w:t>
            </w:r>
            <w:r>
              <w:rPr>
                <w:rFonts w:hint="default" w:ascii="Times New Roman" w:hAnsi="Times New Roman" w:eastAsia="宋体" w:cs="Times New Roman"/>
                <w:color w:val="000000"/>
                <w:sz w:val="21"/>
                <w:szCs w:val="21"/>
                <w:lang w:val="en-US" w:eastAsia="zh-CN"/>
              </w:rPr>
              <w:t>。</w:t>
            </w:r>
          </w:p>
          <w:bookmarkEnd w:id="29"/>
          <w:p w14:paraId="33FBA2C8">
            <w:pPr>
              <w:pStyle w:val="24"/>
              <w:keepNext w:val="0"/>
              <w:keepLines w:val="0"/>
              <w:suppressLineNumbers w:val="0"/>
              <w:spacing w:before="0" w:beforeAutospacing="0"/>
              <w:ind w:right="0"/>
              <w:jc w:val="left"/>
              <w:rPr>
                <w:rFonts w:hint="eastAsia"/>
                <w:b/>
                <w:bCs/>
                <w:color w:val="auto"/>
                <w:sz w:val="21"/>
                <w:szCs w:val="21"/>
                <w:highlight w:val="none"/>
              </w:rPr>
            </w:pPr>
            <w:r>
              <w:rPr>
                <w:rFonts w:hint="eastAsia"/>
                <w:b/>
                <w:bCs/>
                <w:color w:val="auto"/>
                <w:sz w:val="21"/>
                <w:szCs w:val="21"/>
                <w:highlight w:val="none"/>
              </w:rPr>
              <w:t>4.2.4</w:t>
            </w:r>
            <w:r>
              <w:rPr>
                <w:rFonts w:hint="default"/>
                <w:b/>
                <w:bCs/>
                <w:color w:val="auto"/>
                <w:sz w:val="21"/>
                <w:szCs w:val="21"/>
                <w:highlight w:val="none"/>
              </w:rPr>
              <w:t>废</w:t>
            </w:r>
            <w:r>
              <w:rPr>
                <w:rFonts w:hint="eastAsia"/>
                <w:b/>
                <w:bCs/>
                <w:color w:val="auto"/>
                <w:sz w:val="21"/>
                <w:szCs w:val="21"/>
                <w:highlight w:val="none"/>
              </w:rPr>
              <w:t>气达标分析</w:t>
            </w:r>
          </w:p>
          <w:p w14:paraId="282C9ABE">
            <w:pPr>
              <w:pStyle w:val="24"/>
              <w:keepNext w:val="0"/>
              <w:keepLines w:val="0"/>
              <w:suppressLineNumbers w:val="0"/>
              <w:snapToGrid/>
              <w:spacing w:before="0" w:beforeAutospacing="0" w:after="0"/>
              <w:ind w:right="0" w:firstLine="420" w:firstLineChars="200"/>
              <w:jc w:val="both"/>
              <w:rPr>
                <w:rFonts w:hint="eastAsia"/>
                <w:color w:val="auto"/>
                <w:sz w:val="21"/>
                <w:szCs w:val="21"/>
                <w:highlight w:val="none"/>
              </w:rPr>
            </w:pPr>
            <w:r>
              <w:rPr>
                <w:rFonts w:hint="eastAsia"/>
                <w:color w:val="auto"/>
                <w:sz w:val="21"/>
                <w:szCs w:val="21"/>
                <w:highlight w:val="none"/>
              </w:rPr>
              <w:t>根据</w:t>
            </w:r>
            <w:r>
              <w:rPr>
                <w:rFonts w:hint="eastAsia"/>
                <w:b/>
                <w:bCs/>
                <w:color w:val="auto"/>
                <w:sz w:val="21"/>
                <w:szCs w:val="21"/>
                <w:highlight w:val="none"/>
              </w:rPr>
              <w:t>表4-</w:t>
            </w:r>
            <w:r>
              <w:rPr>
                <w:rFonts w:hint="eastAsia"/>
                <w:b/>
                <w:bCs/>
                <w:color w:val="auto"/>
                <w:sz w:val="21"/>
                <w:szCs w:val="21"/>
                <w:highlight w:val="none"/>
                <w:lang w:val="en-US" w:eastAsia="zh-CN"/>
              </w:rPr>
              <w:t>15</w:t>
            </w:r>
            <w:r>
              <w:rPr>
                <w:rFonts w:hint="eastAsia"/>
                <w:color w:val="auto"/>
                <w:sz w:val="21"/>
                <w:szCs w:val="21"/>
                <w:highlight w:val="none"/>
              </w:rPr>
              <w:t>可知，项目</w:t>
            </w:r>
            <w:r>
              <w:rPr>
                <w:rFonts w:hint="eastAsia"/>
                <w:color w:val="auto"/>
                <w:sz w:val="21"/>
                <w:szCs w:val="21"/>
                <w:highlight w:val="none"/>
                <w:lang w:val="en-US" w:eastAsia="zh-CN"/>
              </w:rPr>
              <w:t>粉尘</w:t>
            </w:r>
            <w:r>
              <w:rPr>
                <w:rFonts w:hint="eastAsia"/>
                <w:color w:val="auto"/>
                <w:sz w:val="21"/>
                <w:szCs w:val="21"/>
                <w:highlight w:val="none"/>
              </w:rPr>
              <w:t>经“</w:t>
            </w:r>
            <w:r>
              <w:rPr>
                <w:rFonts w:hint="eastAsia"/>
                <w:color w:val="auto"/>
                <w:sz w:val="21"/>
                <w:szCs w:val="21"/>
                <w:highlight w:val="none"/>
                <w:lang w:val="en-US" w:eastAsia="zh-CN"/>
              </w:rPr>
              <w:t>脉冲布袋除尘器</w:t>
            </w:r>
            <w:r>
              <w:rPr>
                <w:rFonts w:hint="eastAsia"/>
                <w:color w:val="auto"/>
                <w:sz w:val="21"/>
                <w:szCs w:val="21"/>
                <w:highlight w:val="none"/>
              </w:rPr>
              <w:t>”处理后排放速率和排放浓度符合</w:t>
            </w:r>
            <w:r>
              <w:rPr>
                <w:rFonts w:hint="eastAsia" w:ascii="Times New Roman" w:hAnsi="Times New Roman" w:eastAsia="宋体" w:cs="宋体"/>
                <w:color w:val="000000"/>
                <w:sz w:val="21"/>
                <w:szCs w:val="21"/>
                <w:lang w:val="en-US" w:eastAsia="zh-CN"/>
              </w:rPr>
              <w:t>《大气污染物综合排放标准》（GB16297-1996）</w:t>
            </w:r>
            <w:r>
              <w:rPr>
                <w:rFonts w:hint="default"/>
                <w:snapToGrid w:val="0"/>
                <w:color w:val="auto"/>
                <w:kern w:val="0"/>
                <w:sz w:val="21"/>
                <w:szCs w:val="21"/>
                <w:highlight w:val="none"/>
              </w:rPr>
              <w:t>相关标准</w:t>
            </w:r>
            <w:r>
              <w:rPr>
                <w:rFonts w:hint="eastAsia"/>
                <w:color w:val="auto"/>
                <w:kern w:val="0"/>
                <w:sz w:val="21"/>
                <w:szCs w:val="21"/>
                <w:highlight w:val="none"/>
                <w:lang w:bidi="ar"/>
              </w:rPr>
              <w:t>，废气可达标排放。</w:t>
            </w:r>
          </w:p>
          <w:p w14:paraId="03FC2B85">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lang w:val="zh-CN"/>
              </w:rPr>
            </w:pPr>
            <w:r>
              <w:rPr>
                <w:rFonts w:hint="default"/>
                <w:b/>
                <w:bCs/>
                <w:color w:val="auto"/>
                <w:sz w:val="21"/>
                <w:szCs w:val="21"/>
                <w:highlight w:val="none"/>
                <w:lang w:val="zh-CN"/>
              </w:rPr>
              <w:t>表</w:t>
            </w:r>
            <w:r>
              <w:rPr>
                <w:rFonts w:hint="eastAsia"/>
                <w:b/>
                <w:bCs/>
                <w:color w:val="auto"/>
                <w:sz w:val="21"/>
                <w:szCs w:val="21"/>
                <w:highlight w:val="none"/>
              </w:rPr>
              <w:t>4</w:t>
            </w:r>
            <w:r>
              <w:rPr>
                <w:rFonts w:hint="default"/>
                <w:b/>
                <w:bCs/>
                <w:color w:val="auto"/>
                <w:sz w:val="21"/>
                <w:szCs w:val="21"/>
                <w:highlight w:val="none"/>
              </w:rPr>
              <w:t>-</w:t>
            </w:r>
            <w:r>
              <w:rPr>
                <w:rFonts w:hint="eastAsia"/>
                <w:b/>
                <w:bCs/>
                <w:color w:val="auto"/>
                <w:sz w:val="21"/>
                <w:szCs w:val="21"/>
                <w:highlight w:val="none"/>
                <w:lang w:val="en-US" w:eastAsia="zh-CN"/>
              </w:rPr>
              <w:t>15</w:t>
            </w:r>
            <w:r>
              <w:rPr>
                <w:rFonts w:hint="eastAsia"/>
                <w:b/>
                <w:bCs/>
                <w:color w:val="auto"/>
                <w:sz w:val="21"/>
                <w:szCs w:val="21"/>
                <w:highlight w:val="none"/>
              </w:rPr>
              <w:t xml:space="preserve">  有组织</w:t>
            </w:r>
            <w:r>
              <w:rPr>
                <w:rFonts w:hint="default"/>
                <w:b/>
                <w:bCs/>
                <w:color w:val="auto"/>
                <w:sz w:val="21"/>
                <w:szCs w:val="21"/>
                <w:highlight w:val="none"/>
              </w:rPr>
              <w:t>废气</w:t>
            </w:r>
            <w:r>
              <w:rPr>
                <w:rFonts w:hint="eastAsia"/>
                <w:b/>
                <w:bCs/>
                <w:color w:val="auto"/>
                <w:sz w:val="21"/>
                <w:szCs w:val="21"/>
                <w:highlight w:val="none"/>
              </w:rPr>
              <w:t>排放达标情况一览</w:t>
            </w:r>
            <w:r>
              <w:rPr>
                <w:rFonts w:hint="default"/>
                <w:b/>
                <w:bCs/>
                <w:color w:val="auto"/>
                <w:sz w:val="21"/>
                <w:szCs w:val="21"/>
                <w:highlight w:val="none"/>
              </w:rPr>
              <w:t>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49"/>
              <w:gridCol w:w="831"/>
              <w:gridCol w:w="874"/>
              <w:gridCol w:w="1761"/>
              <w:gridCol w:w="654"/>
              <w:gridCol w:w="981"/>
              <w:gridCol w:w="722"/>
              <w:gridCol w:w="735"/>
            </w:tblGrid>
            <w:tr w14:paraId="5FC02B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noWrap w:val="0"/>
                  <w:vAlign w:val="center"/>
                </w:tcPr>
                <w:p w14:paraId="3240C0CF">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eastAsia"/>
                      <w:b/>
                      <w:bCs/>
                      <w:color w:val="auto"/>
                      <w:szCs w:val="21"/>
                      <w:highlight w:val="none"/>
                    </w:rPr>
                    <w:t>污染源</w:t>
                  </w:r>
                </w:p>
              </w:tc>
              <w:tc>
                <w:tcPr>
                  <w:tcW w:w="849" w:type="dxa"/>
                  <w:noWrap w:val="0"/>
                  <w:vAlign w:val="center"/>
                </w:tcPr>
                <w:p w14:paraId="288D8DBC">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eastAsia"/>
                      <w:b/>
                      <w:bCs/>
                      <w:color w:val="auto"/>
                      <w:szCs w:val="21"/>
                      <w:highlight w:val="none"/>
                    </w:rPr>
                    <w:t>污染物</w:t>
                  </w:r>
                </w:p>
              </w:tc>
              <w:tc>
                <w:tcPr>
                  <w:tcW w:w="831" w:type="dxa"/>
                  <w:noWrap w:val="0"/>
                  <w:vAlign w:val="center"/>
                </w:tcPr>
                <w:p w14:paraId="5717775B">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eastAsia"/>
                      <w:b/>
                      <w:bCs/>
                      <w:color w:val="auto"/>
                      <w:szCs w:val="21"/>
                      <w:highlight w:val="none"/>
                    </w:rPr>
                    <w:t>排放浓度m</w:t>
                  </w:r>
                  <w:r>
                    <w:rPr>
                      <w:rFonts w:hint="default"/>
                      <w:b/>
                      <w:bCs/>
                      <w:color w:val="auto"/>
                      <w:szCs w:val="21"/>
                      <w:highlight w:val="none"/>
                    </w:rPr>
                    <w:t>g/m</w:t>
                  </w:r>
                  <w:r>
                    <w:rPr>
                      <w:rFonts w:hint="default"/>
                      <w:b/>
                      <w:bCs/>
                      <w:color w:val="auto"/>
                      <w:szCs w:val="21"/>
                      <w:highlight w:val="none"/>
                      <w:vertAlign w:val="superscript"/>
                    </w:rPr>
                    <w:t>3</w:t>
                  </w:r>
                </w:p>
              </w:tc>
              <w:tc>
                <w:tcPr>
                  <w:tcW w:w="874" w:type="dxa"/>
                  <w:noWrap w:val="0"/>
                  <w:vAlign w:val="center"/>
                </w:tcPr>
                <w:p w14:paraId="1B3724EA">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eastAsia"/>
                      <w:b/>
                      <w:bCs/>
                      <w:color w:val="auto"/>
                      <w:szCs w:val="21"/>
                      <w:highlight w:val="none"/>
                    </w:rPr>
                    <w:t>排放速率</w:t>
                  </w:r>
                  <w:r>
                    <w:rPr>
                      <w:rFonts w:hint="default"/>
                      <w:b/>
                      <w:bCs/>
                      <w:color w:val="auto"/>
                      <w:szCs w:val="21"/>
                      <w:highlight w:val="none"/>
                    </w:rPr>
                    <w:t>kg/h</w:t>
                  </w:r>
                </w:p>
              </w:tc>
              <w:tc>
                <w:tcPr>
                  <w:tcW w:w="1761" w:type="dxa"/>
                  <w:noWrap w:val="0"/>
                  <w:vAlign w:val="center"/>
                </w:tcPr>
                <w:p w14:paraId="261F0C40">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eastAsia"/>
                      <w:b/>
                      <w:bCs/>
                      <w:color w:val="auto"/>
                      <w:szCs w:val="21"/>
                      <w:highlight w:val="none"/>
                    </w:rPr>
                    <w:t>执行标准</w:t>
                  </w:r>
                </w:p>
              </w:tc>
              <w:tc>
                <w:tcPr>
                  <w:tcW w:w="654" w:type="dxa"/>
                  <w:noWrap w:val="0"/>
                  <w:vAlign w:val="center"/>
                </w:tcPr>
                <w:p w14:paraId="7208AFFD">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eastAsia"/>
                      <w:b/>
                      <w:bCs/>
                      <w:color w:val="auto"/>
                      <w:szCs w:val="21"/>
                      <w:highlight w:val="none"/>
                    </w:rPr>
                    <w:t>排气筒高度m</w:t>
                  </w:r>
                </w:p>
              </w:tc>
              <w:tc>
                <w:tcPr>
                  <w:tcW w:w="981" w:type="dxa"/>
                  <w:noWrap w:val="0"/>
                  <w:vAlign w:val="center"/>
                </w:tcPr>
                <w:p w14:paraId="422765AA">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eastAsia"/>
                      <w:b/>
                      <w:bCs/>
                      <w:color w:val="auto"/>
                      <w:szCs w:val="21"/>
                      <w:highlight w:val="none"/>
                    </w:rPr>
                    <w:t>浓度限值m</w:t>
                  </w:r>
                  <w:r>
                    <w:rPr>
                      <w:rFonts w:hint="default"/>
                      <w:b/>
                      <w:bCs/>
                      <w:color w:val="auto"/>
                      <w:szCs w:val="21"/>
                      <w:highlight w:val="none"/>
                    </w:rPr>
                    <w:t>g/m</w:t>
                  </w:r>
                  <w:r>
                    <w:rPr>
                      <w:rFonts w:hint="default"/>
                      <w:b/>
                      <w:bCs/>
                      <w:color w:val="auto"/>
                      <w:szCs w:val="21"/>
                      <w:highlight w:val="none"/>
                      <w:vertAlign w:val="superscript"/>
                    </w:rPr>
                    <w:t>3</w:t>
                  </w:r>
                </w:p>
              </w:tc>
              <w:tc>
                <w:tcPr>
                  <w:tcW w:w="722" w:type="dxa"/>
                  <w:noWrap w:val="0"/>
                  <w:vAlign w:val="center"/>
                </w:tcPr>
                <w:p w14:paraId="24E9E941">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eastAsia"/>
                      <w:b/>
                      <w:bCs/>
                      <w:color w:val="auto"/>
                      <w:szCs w:val="21"/>
                      <w:highlight w:val="none"/>
                    </w:rPr>
                    <w:t>速率限值</w:t>
                  </w:r>
                  <w:r>
                    <w:rPr>
                      <w:rFonts w:hint="default"/>
                      <w:b/>
                      <w:bCs/>
                      <w:color w:val="auto"/>
                      <w:szCs w:val="21"/>
                      <w:highlight w:val="none"/>
                    </w:rPr>
                    <w:t>kg/h</w:t>
                  </w:r>
                </w:p>
              </w:tc>
              <w:tc>
                <w:tcPr>
                  <w:tcW w:w="735" w:type="dxa"/>
                  <w:noWrap w:val="0"/>
                  <w:vAlign w:val="center"/>
                </w:tcPr>
                <w:p w14:paraId="12FCC1A8">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eastAsia"/>
                      <w:b/>
                      <w:bCs/>
                      <w:color w:val="auto"/>
                      <w:szCs w:val="21"/>
                      <w:highlight w:val="none"/>
                    </w:rPr>
                    <w:t>达标情况</w:t>
                  </w:r>
                </w:p>
              </w:tc>
            </w:tr>
            <w:tr w14:paraId="71563A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noWrap w:val="0"/>
                  <w:vAlign w:val="center"/>
                </w:tcPr>
                <w:p w14:paraId="48A76EDF">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DA001</w:t>
                  </w:r>
                </w:p>
              </w:tc>
              <w:tc>
                <w:tcPr>
                  <w:tcW w:w="849" w:type="dxa"/>
                  <w:noWrap w:val="0"/>
                  <w:vAlign w:val="center"/>
                </w:tcPr>
                <w:p w14:paraId="78956DFB">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kern w:val="0"/>
                      <w:szCs w:val="21"/>
                      <w:highlight w:val="none"/>
                      <w:lang w:bidi="ar"/>
                    </w:rPr>
                    <w:t>颗粒物</w:t>
                  </w:r>
                </w:p>
              </w:tc>
              <w:tc>
                <w:tcPr>
                  <w:tcW w:w="831" w:type="dxa"/>
                  <w:noWrap w:val="0"/>
                  <w:vAlign w:val="center"/>
                </w:tcPr>
                <w:p w14:paraId="7883F25E">
                  <w:pPr>
                    <w:keepNext w:val="0"/>
                    <w:keepLines w:val="0"/>
                    <w:widowControl/>
                    <w:suppressLineNumbers w:val="0"/>
                    <w:spacing w:before="0" w:beforeAutospacing="0" w:after="0" w:afterAutospacing="0" w:line="240" w:lineRule="auto"/>
                    <w:ind w:left="-42" w:leftChars="-20" w:right="-42" w:rightChars="-2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0.06</w:t>
                  </w:r>
                </w:p>
              </w:tc>
              <w:tc>
                <w:tcPr>
                  <w:tcW w:w="874" w:type="dxa"/>
                  <w:noWrap w:val="0"/>
                  <w:vAlign w:val="center"/>
                </w:tcPr>
                <w:p w14:paraId="0E73D75E">
                  <w:pPr>
                    <w:keepNext w:val="0"/>
                    <w:keepLines w:val="0"/>
                    <w:suppressLineNumbers w:val="0"/>
                    <w:spacing w:before="0" w:beforeAutospacing="0" w:after="0" w:afterAutospacing="0" w:line="240" w:lineRule="auto"/>
                    <w:ind w:left="-42" w:leftChars="-20" w:right="-42" w:rightChars="-2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0.0046</w:t>
                  </w:r>
                </w:p>
              </w:tc>
              <w:tc>
                <w:tcPr>
                  <w:tcW w:w="1761" w:type="dxa"/>
                  <w:vMerge w:val="restart"/>
                  <w:noWrap w:val="0"/>
                  <w:vAlign w:val="center"/>
                </w:tcPr>
                <w:p w14:paraId="36DE1EDB">
                  <w:pPr>
                    <w:pStyle w:val="2"/>
                    <w:keepNext w:val="0"/>
                    <w:keepLines w:val="0"/>
                    <w:suppressLineNumbers w:val="0"/>
                    <w:spacing w:before="0" w:beforeAutospacing="0" w:after="0" w:afterAutospacing="0" w:line="240" w:lineRule="auto"/>
                    <w:ind w:left="0" w:right="0"/>
                    <w:jc w:val="center"/>
                    <w:rPr>
                      <w:rFonts w:hint="eastAsia"/>
                      <w:color w:val="auto"/>
                      <w:highlight w:val="none"/>
                    </w:rPr>
                  </w:pPr>
                  <w:r>
                    <w:rPr>
                      <w:rFonts w:hint="eastAsia" w:ascii="Times New Roman" w:hAnsi="Times New Roman" w:eastAsia="宋体" w:cs="宋体"/>
                      <w:color w:val="000000"/>
                      <w:sz w:val="21"/>
                      <w:szCs w:val="21"/>
                      <w:lang w:val="en-US" w:eastAsia="zh-CN"/>
                    </w:rPr>
                    <w:t>GB16297-1996</w:t>
                  </w:r>
                </w:p>
              </w:tc>
              <w:tc>
                <w:tcPr>
                  <w:tcW w:w="654" w:type="dxa"/>
                  <w:noWrap w:val="0"/>
                  <w:vAlign w:val="center"/>
                </w:tcPr>
                <w:p w14:paraId="56C6BABA">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szCs w:val="21"/>
                      <w:highlight w:val="none"/>
                    </w:rPr>
                    <w:t>15</w:t>
                  </w:r>
                </w:p>
              </w:tc>
              <w:tc>
                <w:tcPr>
                  <w:tcW w:w="981" w:type="dxa"/>
                  <w:vMerge w:val="restart"/>
                  <w:noWrap w:val="0"/>
                  <w:vAlign w:val="center"/>
                </w:tcPr>
                <w:p w14:paraId="2D5E0832">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120</w:t>
                  </w:r>
                </w:p>
              </w:tc>
              <w:tc>
                <w:tcPr>
                  <w:tcW w:w="722" w:type="dxa"/>
                  <w:vMerge w:val="restart"/>
                  <w:noWrap w:val="0"/>
                  <w:vAlign w:val="center"/>
                </w:tcPr>
                <w:p w14:paraId="3CA4DCFD">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1.75</w:t>
                  </w:r>
                </w:p>
              </w:tc>
              <w:tc>
                <w:tcPr>
                  <w:tcW w:w="735" w:type="dxa"/>
                  <w:noWrap w:val="0"/>
                  <w:vAlign w:val="center"/>
                </w:tcPr>
                <w:p w14:paraId="70CE0A8F">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达标</w:t>
                  </w:r>
                </w:p>
              </w:tc>
            </w:tr>
            <w:tr w14:paraId="4F5137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noWrap w:val="0"/>
                  <w:vAlign w:val="center"/>
                </w:tcPr>
                <w:p w14:paraId="01E4EC9B">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bookmarkStart w:id="30" w:name="OLE_LINK25"/>
                  <w:r>
                    <w:rPr>
                      <w:rFonts w:hint="eastAsia"/>
                      <w:color w:val="auto"/>
                      <w:szCs w:val="21"/>
                      <w:highlight w:val="none"/>
                    </w:rPr>
                    <w:t>DA002</w:t>
                  </w:r>
                  <w:bookmarkEnd w:id="30"/>
                </w:p>
              </w:tc>
              <w:tc>
                <w:tcPr>
                  <w:tcW w:w="849" w:type="dxa"/>
                  <w:noWrap w:val="0"/>
                  <w:vAlign w:val="center"/>
                </w:tcPr>
                <w:p w14:paraId="334F4F95">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kern w:val="0"/>
                      <w:szCs w:val="21"/>
                      <w:highlight w:val="none"/>
                      <w:lang w:bidi="ar"/>
                    </w:rPr>
                    <w:t>颗粒物</w:t>
                  </w:r>
                </w:p>
              </w:tc>
              <w:tc>
                <w:tcPr>
                  <w:tcW w:w="831" w:type="dxa"/>
                  <w:noWrap w:val="0"/>
                  <w:vAlign w:val="center"/>
                </w:tcPr>
                <w:p w14:paraId="17ED6137">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0.06</w:t>
                  </w:r>
                </w:p>
              </w:tc>
              <w:tc>
                <w:tcPr>
                  <w:tcW w:w="874" w:type="dxa"/>
                  <w:noWrap w:val="0"/>
                  <w:vAlign w:val="center"/>
                </w:tcPr>
                <w:p w14:paraId="686B6A3D">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0.0046</w:t>
                  </w:r>
                </w:p>
              </w:tc>
              <w:tc>
                <w:tcPr>
                  <w:tcW w:w="1761" w:type="dxa"/>
                  <w:vMerge w:val="continue"/>
                  <w:noWrap w:val="0"/>
                  <w:vAlign w:val="center"/>
                </w:tcPr>
                <w:p w14:paraId="42BF9A75">
                  <w:pPr>
                    <w:keepNext w:val="0"/>
                    <w:keepLines w:val="0"/>
                    <w:suppressLineNumbers w:val="0"/>
                    <w:spacing w:before="0" w:beforeAutospacing="0" w:after="0" w:afterAutospacing="0" w:line="240" w:lineRule="auto"/>
                    <w:ind w:left="-63" w:leftChars="-30" w:right="-63" w:rightChars="-30"/>
                    <w:jc w:val="center"/>
                    <w:rPr>
                      <w:rFonts w:hint="eastAsia"/>
                      <w:snapToGrid w:val="0"/>
                      <w:color w:val="auto"/>
                      <w:szCs w:val="21"/>
                      <w:highlight w:val="none"/>
                    </w:rPr>
                  </w:pPr>
                </w:p>
              </w:tc>
              <w:tc>
                <w:tcPr>
                  <w:tcW w:w="654" w:type="dxa"/>
                  <w:noWrap w:val="0"/>
                  <w:vAlign w:val="center"/>
                </w:tcPr>
                <w:p w14:paraId="4A55093F">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szCs w:val="21"/>
                      <w:highlight w:val="none"/>
                    </w:rPr>
                    <w:t>15</w:t>
                  </w:r>
                </w:p>
              </w:tc>
              <w:tc>
                <w:tcPr>
                  <w:tcW w:w="981" w:type="dxa"/>
                  <w:vMerge w:val="continue"/>
                  <w:noWrap w:val="0"/>
                  <w:vAlign w:val="center"/>
                </w:tcPr>
                <w:p w14:paraId="2F5E036C">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22" w:type="dxa"/>
                  <w:vMerge w:val="continue"/>
                  <w:noWrap w:val="0"/>
                  <w:vAlign w:val="center"/>
                </w:tcPr>
                <w:p w14:paraId="376A421C">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35" w:type="dxa"/>
                  <w:noWrap w:val="0"/>
                  <w:vAlign w:val="center"/>
                </w:tcPr>
                <w:p w14:paraId="2C557BAE">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达标</w:t>
                  </w:r>
                </w:p>
              </w:tc>
            </w:tr>
            <w:tr w14:paraId="4021AD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noWrap w:val="0"/>
                  <w:vAlign w:val="center"/>
                </w:tcPr>
                <w:p w14:paraId="06C069C7">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DA003</w:t>
                  </w:r>
                </w:p>
              </w:tc>
              <w:tc>
                <w:tcPr>
                  <w:tcW w:w="849" w:type="dxa"/>
                  <w:noWrap w:val="0"/>
                  <w:vAlign w:val="center"/>
                </w:tcPr>
                <w:p w14:paraId="4A50AFC8">
                  <w:pPr>
                    <w:keepNext w:val="0"/>
                    <w:keepLines w:val="0"/>
                    <w:suppressLineNumbers w:val="0"/>
                    <w:spacing w:before="0" w:beforeAutospacing="0" w:after="0" w:afterAutospacing="0" w:line="240" w:lineRule="auto"/>
                    <w:ind w:left="-63" w:leftChars="-30" w:right="-63" w:rightChars="-30"/>
                    <w:jc w:val="center"/>
                    <w:rPr>
                      <w:rFonts w:hint="default"/>
                      <w:color w:val="auto"/>
                      <w:kern w:val="0"/>
                      <w:szCs w:val="21"/>
                      <w:highlight w:val="none"/>
                      <w:lang w:bidi="ar"/>
                    </w:rPr>
                  </w:pPr>
                  <w:r>
                    <w:rPr>
                      <w:rFonts w:hint="eastAsia"/>
                      <w:color w:val="auto"/>
                      <w:kern w:val="0"/>
                      <w:szCs w:val="21"/>
                      <w:highlight w:val="none"/>
                      <w:lang w:bidi="ar"/>
                    </w:rPr>
                    <w:t>颗粒物</w:t>
                  </w:r>
                </w:p>
              </w:tc>
              <w:tc>
                <w:tcPr>
                  <w:tcW w:w="831" w:type="dxa"/>
                  <w:noWrap w:val="0"/>
                  <w:vAlign w:val="center"/>
                </w:tcPr>
                <w:p w14:paraId="27B2F87C">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0.06</w:t>
                  </w:r>
                </w:p>
              </w:tc>
              <w:tc>
                <w:tcPr>
                  <w:tcW w:w="874" w:type="dxa"/>
                  <w:noWrap w:val="0"/>
                  <w:vAlign w:val="center"/>
                </w:tcPr>
                <w:p w14:paraId="555B8ED0">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0.0046</w:t>
                  </w:r>
                </w:p>
              </w:tc>
              <w:tc>
                <w:tcPr>
                  <w:tcW w:w="1761" w:type="dxa"/>
                  <w:vMerge w:val="continue"/>
                  <w:noWrap w:val="0"/>
                  <w:vAlign w:val="center"/>
                </w:tcPr>
                <w:p w14:paraId="56615372">
                  <w:pPr>
                    <w:keepNext w:val="0"/>
                    <w:keepLines w:val="0"/>
                    <w:suppressLineNumbers w:val="0"/>
                    <w:spacing w:before="0" w:beforeAutospacing="0" w:after="0" w:afterAutospacing="0" w:line="240" w:lineRule="auto"/>
                    <w:ind w:left="-63" w:leftChars="-30" w:right="-63" w:rightChars="-30"/>
                    <w:jc w:val="center"/>
                    <w:rPr>
                      <w:rFonts w:hint="default"/>
                      <w:snapToGrid w:val="0"/>
                      <w:color w:val="auto"/>
                      <w:szCs w:val="21"/>
                      <w:highlight w:val="none"/>
                    </w:rPr>
                  </w:pPr>
                </w:p>
              </w:tc>
              <w:tc>
                <w:tcPr>
                  <w:tcW w:w="654" w:type="dxa"/>
                  <w:noWrap w:val="0"/>
                  <w:vAlign w:val="center"/>
                </w:tcPr>
                <w:p w14:paraId="2E594426">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szCs w:val="21"/>
                      <w:highlight w:val="none"/>
                    </w:rPr>
                    <w:t>15</w:t>
                  </w:r>
                </w:p>
              </w:tc>
              <w:tc>
                <w:tcPr>
                  <w:tcW w:w="981" w:type="dxa"/>
                  <w:vMerge w:val="continue"/>
                  <w:noWrap w:val="0"/>
                  <w:vAlign w:val="center"/>
                </w:tcPr>
                <w:p w14:paraId="4E5C7F4A">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22" w:type="dxa"/>
                  <w:vMerge w:val="continue"/>
                  <w:noWrap w:val="0"/>
                  <w:vAlign w:val="center"/>
                </w:tcPr>
                <w:p w14:paraId="28DE9EBD">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35" w:type="dxa"/>
                  <w:noWrap w:val="0"/>
                  <w:vAlign w:val="center"/>
                </w:tcPr>
                <w:p w14:paraId="1A00169E">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szCs w:val="21"/>
                      <w:highlight w:val="none"/>
                    </w:rPr>
                    <w:t>达标</w:t>
                  </w:r>
                </w:p>
              </w:tc>
            </w:tr>
            <w:tr w14:paraId="21424E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noWrap w:val="0"/>
                  <w:vAlign w:val="center"/>
                </w:tcPr>
                <w:p w14:paraId="19163799">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val="en-US" w:eastAsia="zh-CN"/>
                    </w:rPr>
                  </w:pPr>
                  <w:r>
                    <w:rPr>
                      <w:rFonts w:hint="eastAsia"/>
                      <w:color w:val="auto"/>
                      <w:szCs w:val="21"/>
                      <w:highlight w:val="none"/>
                    </w:rPr>
                    <w:t>DA00</w:t>
                  </w:r>
                  <w:r>
                    <w:rPr>
                      <w:rFonts w:hint="eastAsia"/>
                      <w:color w:val="auto"/>
                      <w:szCs w:val="21"/>
                      <w:highlight w:val="none"/>
                      <w:lang w:val="en-US" w:eastAsia="zh-CN"/>
                    </w:rPr>
                    <w:t>4</w:t>
                  </w:r>
                </w:p>
              </w:tc>
              <w:tc>
                <w:tcPr>
                  <w:tcW w:w="849" w:type="dxa"/>
                  <w:noWrap w:val="0"/>
                  <w:vAlign w:val="center"/>
                </w:tcPr>
                <w:p w14:paraId="0732506F">
                  <w:pPr>
                    <w:keepNext w:val="0"/>
                    <w:keepLines w:val="0"/>
                    <w:suppressLineNumbers w:val="0"/>
                    <w:spacing w:before="0" w:beforeAutospacing="0" w:after="0" w:afterAutospacing="0" w:line="240" w:lineRule="auto"/>
                    <w:ind w:left="-63" w:leftChars="-30" w:right="-63" w:rightChars="-30"/>
                    <w:jc w:val="center"/>
                    <w:rPr>
                      <w:rFonts w:hint="eastAsia"/>
                      <w:color w:val="auto"/>
                      <w:kern w:val="0"/>
                      <w:szCs w:val="21"/>
                      <w:highlight w:val="none"/>
                      <w:lang w:bidi="ar"/>
                    </w:rPr>
                  </w:pPr>
                  <w:r>
                    <w:rPr>
                      <w:rFonts w:hint="eastAsia"/>
                      <w:color w:val="auto"/>
                      <w:kern w:val="0"/>
                      <w:szCs w:val="21"/>
                      <w:highlight w:val="none"/>
                      <w:lang w:bidi="ar"/>
                    </w:rPr>
                    <w:t>颗粒物</w:t>
                  </w:r>
                </w:p>
              </w:tc>
              <w:tc>
                <w:tcPr>
                  <w:tcW w:w="831" w:type="dxa"/>
                  <w:noWrap w:val="0"/>
                  <w:vAlign w:val="center"/>
                </w:tcPr>
                <w:p w14:paraId="2E10BCB6">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0.06</w:t>
                  </w:r>
                </w:p>
              </w:tc>
              <w:tc>
                <w:tcPr>
                  <w:tcW w:w="874" w:type="dxa"/>
                  <w:noWrap w:val="0"/>
                  <w:vAlign w:val="center"/>
                </w:tcPr>
                <w:p w14:paraId="01F6D037">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0.0046</w:t>
                  </w:r>
                </w:p>
              </w:tc>
              <w:tc>
                <w:tcPr>
                  <w:tcW w:w="1761" w:type="dxa"/>
                  <w:vMerge w:val="continue"/>
                  <w:noWrap w:val="0"/>
                  <w:vAlign w:val="center"/>
                </w:tcPr>
                <w:p w14:paraId="67108E4B">
                  <w:pPr>
                    <w:keepNext w:val="0"/>
                    <w:keepLines w:val="0"/>
                    <w:suppressLineNumbers w:val="0"/>
                    <w:spacing w:before="0" w:beforeAutospacing="0" w:after="0" w:afterAutospacing="0" w:line="240" w:lineRule="auto"/>
                    <w:ind w:left="-63" w:leftChars="-30" w:right="-63" w:rightChars="-30"/>
                    <w:jc w:val="center"/>
                    <w:rPr>
                      <w:rFonts w:hint="default"/>
                      <w:snapToGrid w:val="0"/>
                      <w:color w:val="auto"/>
                      <w:szCs w:val="21"/>
                      <w:highlight w:val="none"/>
                    </w:rPr>
                  </w:pPr>
                </w:p>
              </w:tc>
              <w:tc>
                <w:tcPr>
                  <w:tcW w:w="654" w:type="dxa"/>
                  <w:noWrap w:val="0"/>
                  <w:vAlign w:val="center"/>
                </w:tcPr>
                <w:p w14:paraId="515D25D5">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15</w:t>
                  </w:r>
                </w:p>
              </w:tc>
              <w:tc>
                <w:tcPr>
                  <w:tcW w:w="981" w:type="dxa"/>
                  <w:vMerge w:val="continue"/>
                  <w:noWrap w:val="0"/>
                  <w:vAlign w:val="center"/>
                </w:tcPr>
                <w:p w14:paraId="578F360A">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22" w:type="dxa"/>
                  <w:vMerge w:val="continue"/>
                  <w:noWrap w:val="0"/>
                  <w:vAlign w:val="center"/>
                </w:tcPr>
                <w:p w14:paraId="618FFC7D">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35" w:type="dxa"/>
                  <w:noWrap w:val="0"/>
                  <w:vAlign w:val="center"/>
                </w:tcPr>
                <w:p w14:paraId="1DDAB5DC">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达标</w:t>
                  </w:r>
                </w:p>
              </w:tc>
            </w:tr>
            <w:tr w14:paraId="2EB5CF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noWrap w:val="0"/>
                  <w:vAlign w:val="center"/>
                </w:tcPr>
                <w:p w14:paraId="32E84362">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5</w:t>
                  </w:r>
                </w:p>
              </w:tc>
              <w:tc>
                <w:tcPr>
                  <w:tcW w:w="849" w:type="dxa"/>
                  <w:noWrap w:val="0"/>
                  <w:vAlign w:val="center"/>
                </w:tcPr>
                <w:p w14:paraId="2E53189D">
                  <w:pPr>
                    <w:keepNext w:val="0"/>
                    <w:keepLines w:val="0"/>
                    <w:suppressLineNumbers w:val="0"/>
                    <w:spacing w:before="0" w:beforeAutospacing="0" w:after="0" w:afterAutospacing="0" w:line="240" w:lineRule="auto"/>
                    <w:ind w:left="-63" w:leftChars="-30" w:right="-63" w:rightChars="-30"/>
                    <w:jc w:val="center"/>
                    <w:rPr>
                      <w:rFonts w:hint="eastAsia"/>
                      <w:color w:val="auto"/>
                      <w:kern w:val="0"/>
                      <w:szCs w:val="21"/>
                      <w:highlight w:val="none"/>
                      <w:lang w:bidi="ar"/>
                    </w:rPr>
                  </w:pPr>
                  <w:r>
                    <w:rPr>
                      <w:rFonts w:hint="eastAsia"/>
                      <w:color w:val="auto"/>
                      <w:kern w:val="0"/>
                      <w:szCs w:val="21"/>
                      <w:highlight w:val="none"/>
                      <w:lang w:bidi="ar"/>
                    </w:rPr>
                    <w:t>颗粒物</w:t>
                  </w:r>
                </w:p>
              </w:tc>
              <w:tc>
                <w:tcPr>
                  <w:tcW w:w="831" w:type="dxa"/>
                  <w:noWrap w:val="0"/>
                  <w:vAlign w:val="center"/>
                </w:tcPr>
                <w:p w14:paraId="4F3F4712">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0.06</w:t>
                  </w:r>
                </w:p>
              </w:tc>
              <w:tc>
                <w:tcPr>
                  <w:tcW w:w="874" w:type="dxa"/>
                  <w:noWrap w:val="0"/>
                  <w:vAlign w:val="center"/>
                </w:tcPr>
                <w:p w14:paraId="2205290C">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0.0046</w:t>
                  </w:r>
                </w:p>
              </w:tc>
              <w:tc>
                <w:tcPr>
                  <w:tcW w:w="1761" w:type="dxa"/>
                  <w:vMerge w:val="continue"/>
                  <w:noWrap w:val="0"/>
                  <w:vAlign w:val="center"/>
                </w:tcPr>
                <w:p w14:paraId="6833EC85">
                  <w:pPr>
                    <w:keepNext w:val="0"/>
                    <w:keepLines w:val="0"/>
                    <w:suppressLineNumbers w:val="0"/>
                    <w:spacing w:before="0" w:beforeAutospacing="0" w:after="0" w:afterAutospacing="0" w:line="240" w:lineRule="auto"/>
                    <w:ind w:left="-63" w:leftChars="-30" w:right="-63" w:rightChars="-30"/>
                    <w:jc w:val="center"/>
                    <w:rPr>
                      <w:rFonts w:hint="default"/>
                      <w:snapToGrid w:val="0"/>
                      <w:color w:val="auto"/>
                      <w:szCs w:val="21"/>
                      <w:highlight w:val="none"/>
                    </w:rPr>
                  </w:pPr>
                </w:p>
              </w:tc>
              <w:tc>
                <w:tcPr>
                  <w:tcW w:w="654" w:type="dxa"/>
                  <w:noWrap w:val="0"/>
                  <w:vAlign w:val="center"/>
                </w:tcPr>
                <w:p w14:paraId="0B88A5AE">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15</w:t>
                  </w:r>
                </w:p>
              </w:tc>
              <w:tc>
                <w:tcPr>
                  <w:tcW w:w="981" w:type="dxa"/>
                  <w:vMerge w:val="continue"/>
                  <w:noWrap w:val="0"/>
                  <w:vAlign w:val="center"/>
                </w:tcPr>
                <w:p w14:paraId="5A0E97F9">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22" w:type="dxa"/>
                  <w:vMerge w:val="continue"/>
                  <w:noWrap w:val="0"/>
                  <w:vAlign w:val="center"/>
                </w:tcPr>
                <w:p w14:paraId="091F2EB5">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35" w:type="dxa"/>
                  <w:noWrap w:val="0"/>
                  <w:vAlign w:val="center"/>
                </w:tcPr>
                <w:p w14:paraId="0AB568A9">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达标</w:t>
                  </w:r>
                </w:p>
              </w:tc>
            </w:tr>
            <w:tr w14:paraId="405695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noWrap w:val="0"/>
                  <w:vAlign w:val="center"/>
                </w:tcPr>
                <w:p w14:paraId="44338A12">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6</w:t>
                  </w:r>
                </w:p>
              </w:tc>
              <w:tc>
                <w:tcPr>
                  <w:tcW w:w="849" w:type="dxa"/>
                  <w:noWrap w:val="0"/>
                  <w:vAlign w:val="center"/>
                </w:tcPr>
                <w:p w14:paraId="0E717E00">
                  <w:pPr>
                    <w:keepNext w:val="0"/>
                    <w:keepLines w:val="0"/>
                    <w:suppressLineNumbers w:val="0"/>
                    <w:spacing w:before="0" w:beforeAutospacing="0" w:after="0" w:afterAutospacing="0" w:line="240" w:lineRule="auto"/>
                    <w:ind w:left="-63" w:leftChars="-30" w:right="-63" w:rightChars="-30"/>
                    <w:jc w:val="center"/>
                    <w:rPr>
                      <w:rFonts w:hint="eastAsia"/>
                      <w:color w:val="auto"/>
                      <w:kern w:val="0"/>
                      <w:szCs w:val="21"/>
                      <w:highlight w:val="none"/>
                      <w:lang w:bidi="ar"/>
                    </w:rPr>
                  </w:pPr>
                  <w:r>
                    <w:rPr>
                      <w:rFonts w:hint="eastAsia"/>
                      <w:color w:val="auto"/>
                      <w:kern w:val="0"/>
                      <w:szCs w:val="21"/>
                      <w:highlight w:val="none"/>
                      <w:lang w:bidi="ar"/>
                    </w:rPr>
                    <w:t>颗粒物</w:t>
                  </w:r>
                </w:p>
              </w:tc>
              <w:tc>
                <w:tcPr>
                  <w:tcW w:w="831" w:type="dxa"/>
                  <w:noWrap w:val="0"/>
                  <w:vAlign w:val="center"/>
                </w:tcPr>
                <w:p w14:paraId="526F11EF">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0.14</w:t>
                  </w:r>
                </w:p>
              </w:tc>
              <w:tc>
                <w:tcPr>
                  <w:tcW w:w="874" w:type="dxa"/>
                  <w:noWrap w:val="0"/>
                  <w:vAlign w:val="center"/>
                </w:tcPr>
                <w:p w14:paraId="60C286D6">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0.0106</w:t>
                  </w:r>
                </w:p>
              </w:tc>
              <w:tc>
                <w:tcPr>
                  <w:tcW w:w="1761" w:type="dxa"/>
                  <w:vMerge w:val="continue"/>
                  <w:noWrap w:val="0"/>
                  <w:vAlign w:val="center"/>
                </w:tcPr>
                <w:p w14:paraId="2A189ADC">
                  <w:pPr>
                    <w:keepNext w:val="0"/>
                    <w:keepLines w:val="0"/>
                    <w:suppressLineNumbers w:val="0"/>
                    <w:spacing w:before="0" w:beforeAutospacing="0" w:after="0" w:afterAutospacing="0" w:line="240" w:lineRule="auto"/>
                    <w:ind w:left="-63" w:leftChars="-30" w:right="-63" w:rightChars="-30"/>
                    <w:jc w:val="center"/>
                    <w:rPr>
                      <w:rFonts w:hint="default"/>
                      <w:snapToGrid w:val="0"/>
                      <w:color w:val="auto"/>
                      <w:szCs w:val="21"/>
                      <w:highlight w:val="none"/>
                    </w:rPr>
                  </w:pPr>
                </w:p>
              </w:tc>
              <w:tc>
                <w:tcPr>
                  <w:tcW w:w="654" w:type="dxa"/>
                  <w:noWrap w:val="0"/>
                  <w:vAlign w:val="center"/>
                </w:tcPr>
                <w:p w14:paraId="24D997C7">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15</w:t>
                  </w:r>
                </w:p>
              </w:tc>
              <w:tc>
                <w:tcPr>
                  <w:tcW w:w="981" w:type="dxa"/>
                  <w:vMerge w:val="continue"/>
                  <w:noWrap w:val="0"/>
                  <w:vAlign w:val="center"/>
                </w:tcPr>
                <w:p w14:paraId="3D5E3227">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22" w:type="dxa"/>
                  <w:vMerge w:val="continue"/>
                  <w:noWrap w:val="0"/>
                  <w:vAlign w:val="center"/>
                </w:tcPr>
                <w:p w14:paraId="500A188E">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35" w:type="dxa"/>
                  <w:noWrap w:val="0"/>
                  <w:vAlign w:val="center"/>
                </w:tcPr>
                <w:p w14:paraId="00F3E968">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达标</w:t>
                  </w:r>
                </w:p>
              </w:tc>
            </w:tr>
            <w:tr w14:paraId="013540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noWrap w:val="0"/>
                  <w:vAlign w:val="center"/>
                </w:tcPr>
                <w:p w14:paraId="0086DBA1">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eastAsia="zh-CN"/>
                    </w:rPr>
                  </w:pPr>
                  <w:r>
                    <w:rPr>
                      <w:rFonts w:hint="eastAsia"/>
                      <w:color w:val="auto"/>
                      <w:szCs w:val="21"/>
                      <w:highlight w:val="none"/>
                    </w:rPr>
                    <w:t>DA00</w:t>
                  </w:r>
                  <w:r>
                    <w:rPr>
                      <w:rFonts w:hint="eastAsia"/>
                      <w:color w:val="auto"/>
                      <w:szCs w:val="21"/>
                      <w:highlight w:val="none"/>
                      <w:lang w:val="en-US" w:eastAsia="zh-CN"/>
                    </w:rPr>
                    <w:t>7</w:t>
                  </w:r>
                </w:p>
              </w:tc>
              <w:tc>
                <w:tcPr>
                  <w:tcW w:w="849" w:type="dxa"/>
                  <w:noWrap w:val="0"/>
                  <w:vAlign w:val="center"/>
                </w:tcPr>
                <w:p w14:paraId="5DE38E78">
                  <w:pPr>
                    <w:keepNext w:val="0"/>
                    <w:keepLines w:val="0"/>
                    <w:suppressLineNumbers w:val="0"/>
                    <w:spacing w:before="0" w:beforeAutospacing="0" w:after="0" w:afterAutospacing="0" w:line="240" w:lineRule="auto"/>
                    <w:ind w:left="-63" w:leftChars="-30" w:right="-63" w:rightChars="-30"/>
                    <w:jc w:val="center"/>
                    <w:rPr>
                      <w:rFonts w:hint="eastAsia"/>
                      <w:color w:val="auto"/>
                      <w:kern w:val="0"/>
                      <w:szCs w:val="21"/>
                      <w:highlight w:val="none"/>
                      <w:lang w:bidi="ar"/>
                    </w:rPr>
                  </w:pPr>
                  <w:r>
                    <w:rPr>
                      <w:rFonts w:hint="eastAsia"/>
                      <w:color w:val="auto"/>
                      <w:kern w:val="0"/>
                      <w:szCs w:val="21"/>
                      <w:highlight w:val="none"/>
                      <w:lang w:bidi="ar"/>
                    </w:rPr>
                    <w:t>颗粒物</w:t>
                  </w:r>
                </w:p>
              </w:tc>
              <w:tc>
                <w:tcPr>
                  <w:tcW w:w="831" w:type="dxa"/>
                  <w:noWrap w:val="0"/>
                  <w:vAlign w:val="center"/>
                </w:tcPr>
                <w:p w14:paraId="127320CA">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0.14</w:t>
                  </w:r>
                </w:p>
              </w:tc>
              <w:tc>
                <w:tcPr>
                  <w:tcW w:w="874" w:type="dxa"/>
                  <w:noWrap w:val="0"/>
                  <w:vAlign w:val="center"/>
                </w:tcPr>
                <w:p w14:paraId="1B52C6A9">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0.0106</w:t>
                  </w:r>
                </w:p>
              </w:tc>
              <w:tc>
                <w:tcPr>
                  <w:tcW w:w="1761" w:type="dxa"/>
                  <w:vMerge w:val="continue"/>
                  <w:noWrap w:val="0"/>
                  <w:vAlign w:val="center"/>
                </w:tcPr>
                <w:p w14:paraId="5A24687F">
                  <w:pPr>
                    <w:keepNext w:val="0"/>
                    <w:keepLines w:val="0"/>
                    <w:suppressLineNumbers w:val="0"/>
                    <w:spacing w:before="0" w:beforeAutospacing="0" w:after="0" w:afterAutospacing="0" w:line="240" w:lineRule="auto"/>
                    <w:ind w:left="-63" w:leftChars="-30" w:right="-63" w:rightChars="-30"/>
                    <w:jc w:val="center"/>
                    <w:rPr>
                      <w:rFonts w:hint="default"/>
                      <w:snapToGrid w:val="0"/>
                      <w:color w:val="auto"/>
                      <w:szCs w:val="21"/>
                      <w:highlight w:val="none"/>
                    </w:rPr>
                  </w:pPr>
                </w:p>
              </w:tc>
              <w:tc>
                <w:tcPr>
                  <w:tcW w:w="654" w:type="dxa"/>
                  <w:noWrap w:val="0"/>
                  <w:vAlign w:val="center"/>
                </w:tcPr>
                <w:p w14:paraId="2849C6AA">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15</w:t>
                  </w:r>
                </w:p>
              </w:tc>
              <w:tc>
                <w:tcPr>
                  <w:tcW w:w="981" w:type="dxa"/>
                  <w:vMerge w:val="continue"/>
                  <w:noWrap w:val="0"/>
                  <w:vAlign w:val="center"/>
                </w:tcPr>
                <w:p w14:paraId="195EFD12">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22" w:type="dxa"/>
                  <w:vMerge w:val="continue"/>
                  <w:noWrap w:val="0"/>
                  <w:vAlign w:val="center"/>
                </w:tcPr>
                <w:p w14:paraId="7A872F79">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35" w:type="dxa"/>
                  <w:noWrap w:val="0"/>
                  <w:vAlign w:val="center"/>
                </w:tcPr>
                <w:p w14:paraId="38504B62">
                  <w:pPr>
                    <w:keepNext w:val="0"/>
                    <w:keepLines w:val="0"/>
                    <w:suppressLineNumbers w:val="0"/>
                    <w:spacing w:before="0" w:beforeAutospacing="0" w:after="0" w:afterAutospacing="0" w:line="240" w:lineRule="auto"/>
                    <w:ind w:left="-63" w:leftChars="-30" w:right="-63" w:rightChars="-30"/>
                    <w:jc w:val="center"/>
                    <w:rPr>
                      <w:rFonts w:hint="eastAsia"/>
                      <w:color w:val="auto"/>
                      <w:szCs w:val="21"/>
                      <w:highlight w:val="none"/>
                    </w:rPr>
                  </w:pPr>
                  <w:r>
                    <w:rPr>
                      <w:rFonts w:hint="eastAsia"/>
                      <w:color w:val="auto"/>
                      <w:szCs w:val="21"/>
                      <w:highlight w:val="none"/>
                    </w:rPr>
                    <w:t>达标</w:t>
                  </w:r>
                </w:p>
              </w:tc>
            </w:tr>
            <w:tr w14:paraId="18FA41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 w:type="dxa"/>
                  <w:noWrap w:val="0"/>
                  <w:vAlign w:val="center"/>
                </w:tcPr>
                <w:p w14:paraId="08A6F2AB">
                  <w:pPr>
                    <w:keepNext w:val="0"/>
                    <w:keepLines w:val="0"/>
                    <w:suppressLineNumbers w:val="0"/>
                    <w:spacing w:before="0" w:beforeAutospacing="0" w:after="0" w:afterAutospacing="0" w:line="240" w:lineRule="auto"/>
                    <w:ind w:left="-63" w:leftChars="-30" w:right="-63" w:rightChars="-3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DA00</w:t>
                  </w:r>
                  <w:r>
                    <w:rPr>
                      <w:rFonts w:hint="eastAsia"/>
                      <w:color w:val="auto"/>
                      <w:szCs w:val="21"/>
                      <w:highlight w:val="none"/>
                      <w:lang w:val="en-US" w:eastAsia="zh-CN"/>
                    </w:rPr>
                    <w:t>8</w:t>
                  </w:r>
                </w:p>
              </w:tc>
              <w:tc>
                <w:tcPr>
                  <w:tcW w:w="849" w:type="dxa"/>
                  <w:noWrap w:val="0"/>
                  <w:vAlign w:val="center"/>
                </w:tcPr>
                <w:p w14:paraId="68B11ABC">
                  <w:pPr>
                    <w:keepNext w:val="0"/>
                    <w:keepLines w:val="0"/>
                    <w:suppressLineNumbers w:val="0"/>
                    <w:spacing w:before="0" w:beforeAutospacing="0" w:after="0" w:afterAutospacing="0" w:line="240" w:lineRule="auto"/>
                    <w:ind w:left="-63" w:leftChars="-30" w:right="-63" w:rightChars="-30"/>
                    <w:jc w:val="center"/>
                    <w:rPr>
                      <w:rFonts w:hint="eastAsia" w:eastAsia="宋体"/>
                      <w:color w:val="auto"/>
                      <w:kern w:val="0"/>
                      <w:szCs w:val="21"/>
                      <w:highlight w:val="none"/>
                      <w:lang w:val="en-US" w:eastAsia="zh-CN" w:bidi="ar"/>
                    </w:rPr>
                  </w:pPr>
                  <w:r>
                    <w:rPr>
                      <w:rFonts w:hint="eastAsia"/>
                      <w:color w:val="auto"/>
                      <w:kern w:val="0"/>
                      <w:szCs w:val="21"/>
                      <w:highlight w:val="none"/>
                      <w:lang w:val="en-US" w:eastAsia="zh-CN" w:bidi="ar"/>
                    </w:rPr>
                    <w:t>颗粒物</w:t>
                  </w:r>
                </w:p>
              </w:tc>
              <w:tc>
                <w:tcPr>
                  <w:tcW w:w="831" w:type="dxa"/>
                  <w:noWrap w:val="0"/>
                  <w:vAlign w:val="center"/>
                </w:tcPr>
                <w:p w14:paraId="4EF2A738">
                  <w:pPr>
                    <w:keepNext w:val="0"/>
                    <w:keepLines w:val="0"/>
                    <w:widowControl/>
                    <w:suppressLineNumbers w:val="0"/>
                    <w:spacing w:before="0" w:beforeAutospacing="0" w:after="0" w:afterAutospacing="0" w:line="240" w:lineRule="auto"/>
                    <w:ind w:left="-42" w:leftChars="-20" w:right="-42" w:rightChars="-20"/>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0.07</w:t>
                  </w:r>
                </w:p>
              </w:tc>
              <w:tc>
                <w:tcPr>
                  <w:tcW w:w="874" w:type="dxa"/>
                  <w:noWrap w:val="0"/>
                  <w:vAlign w:val="center"/>
                </w:tcPr>
                <w:p w14:paraId="06543407">
                  <w:pPr>
                    <w:keepNext w:val="0"/>
                    <w:keepLines w:val="0"/>
                    <w:suppressLineNumbers w:val="0"/>
                    <w:spacing w:before="0" w:beforeAutospacing="0" w:after="0" w:afterAutospacing="0" w:line="240" w:lineRule="auto"/>
                    <w:ind w:left="-42" w:leftChars="-20" w:right="-42" w:rightChars="-2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0.0053</w:t>
                  </w:r>
                </w:p>
              </w:tc>
              <w:tc>
                <w:tcPr>
                  <w:tcW w:w="1761" w:type="dxa"/>
                  <w:vMerge w:val="continue"/>
                  <w:noWrap w:val="0"/>
                  <w:vAlign w:val="center"/>
                </w:tcPr>
                <w:p w14:paraId="44A87820">
                  <w:pPr>
                    <w:keepNext w:val="0"/>
                    <w:keepLines w:val="0"/>
                    <w:suppressLineNumbers w:val="0"/>
                    <w:spacing w:before="0" w:beforeAutospacing="0" w:after="0" w:afterAutospacing="0" w:line="240" w:lineRule="auto"/>
                    <w:ind w:left="-63" w:leftChars="-30" w:right="-63" w:rightChars="-30"/>
                    <w:jc w:val="center"/>
                    <w:rPr>
                      <w:rFonts w:hint="default"/>
                      <w:snapToGrid w:val="0"/>
                      <w:color w:val="auto"/>
                      <w:szCs w:val="21"/>
                      <w:highlight w:val="none"/>
                    </w:rPr>
                  </w:pPr>
                </w:p>
              </w:tc>
              <w:tc>
                <w:tcPr>
                  <w:tcW w:w="654" w:type="dxa"/>
                  <w:noWrap w:val="0"/>
                  <w:vAlign w:val="center"/>
                </w:tcPr>
                <w:p w14:paraId="74386FA4">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15</w:t>
                  </w:r>
                </w:p>
              </w:tc>
              <w:tc>
                <w:tcPr>
                  <w:tcW w:w="981" w:type="dxa"/>
                  <w:vMerge w:val="continue"/>
                  <w:noWrap w:val="0"/>
                  <w:vAlign w:val="center"/>
                </w:tcPr>
                <w:p w14:paraId="31880733">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22" w:type="dxa"/>
                  <w:vMerge w:val="continue"/>
                  <w:noWrap w:val="0"/>
                  <w:vAlign w:val="center"/>
                </w:tcPr>
                <w:p w14:paraId="6390B484">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735" w:type="dxa"/>
                  <w:noWrap w:val="0"/>
                  <w:vAlign w:val="center"/>
                </w:tcPr>
                <w:p w14:paraId="36B4CAD7">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val="en-US" w:eastAsia="zh-CN"/>
                    </w:rPr>
                  </w:pPr>
                  <w:r>
                    <w:rPr>
                      <w:rFonts w:hint="eastAsia"/>
                      <w:color w:val="auto"/>
                      <w:szCs w:val="21"/>
                      <w:highlight w:val="none"/>
                      <w:lang w:val="en-US" w:eastAsia="zh-CN"/>
                    </w:rPr>
                    <w:t>达标</w:t>
                  </w:r>
                </w:p>
              </w:tc>
            </w:tr>
          </w:tbl>
          <w:p w14:paraId="1CBA7F76">
            <w:pPr>
              <w:keepNext w:val="0"/>
              <w:keepLines w:val="0"/>
              <w:suppressLineNumbers w:val="0"/>
              <w:spacing w:before="120" w:beforeLines="50" w:beforeAutospacing="0" w:after="0" w:afterAutospacing="0"/>
              <w:ind w:left="0" w:right="0" w:firstLine="420" w:firstLineChars="200"/>
              <w:rPr>
                <w:rFonts w:hint="default"/>
                <w:b/>
                <w:bCs/>
                <w:color w:val="auto"/>
                <w:szCs w:val="21"/>
                <w:highlight w:val="none"/>
              </w:rPr>
            </w:pPr>
            <w:r>
              <w:rPr>
                <w:rFonts w:hint="eastAsia"/>
                <w:color w:val="auto"/>
                <w:szCs w:val="21"/>
                <w:highlight w:val="none"/>
              </w:rPr>
              <w:t>项目少量未收集废气，车间无组织逸散。建议企业</w:t>
            </w:r>
            <w:r>
              <w:rPr>
                <w:rFonts w:hint="default"/>
                <w:color w:val="auto"/>
                <w:szCs w:val="21"/>
                <w:highlight w:val="none"/>
              </w:rPr>
              <w:t>生产车间</w:t>
            </w:r>
            <w:r>
              <w:rPr>
                <w:rFonts w:hint="eastAsia"/>
                <w:color w:val="auto"/>
                <w:szCs w:val="21"/>
                <w:highlight w:val="none"/>
              </w:rPr>
              <w:t>加强</w:t>
            </w:r>
            <w:r>
              <w:rPr>
                <w:rFonts w:hint="default"/>
                <w:color w:val="auto"/>
                <w:szCs w:val="21"/>
                <w:highlight w:val="none"/>
              </w:rPr>
              <w:t>密闭</w:t>
            </w:r>
            <w:r>
              <w:rPr>
                <w:rFonts w:hint="eastAsia"/>
                <w:color w:val="auto"/>
                <w:szCs w:val="21"/>
                <w:highlight w:val="none"/>
              </w:rPr>
              <w:t>措施</w:t>
            </w:r>
            <w:r>
              <w:rPr>
                <w:rFonts w:hint="default"/>
                <w:color w:val="auto"/>
                <w:szCs w:val="21"/>
                <w:highlight w:val="none"/>
              </w:rPr>
              <w:t>，</w:t>
            </w:r>
            <w:r>
              <w:rPr>
                <w:rFonts w:hint="eastAsia"/>
                <w:color w:val="auto"/>
                <w:szCs w:val="21"/>
                <w:highlight w:val="none"/>
              </w:rPr>
              <w:t>减少无组织逸散，</w:t>
            </w:r>
            <w:r>
              <w:rPr>
                <w:rFonts w:hint="default"/>
                <w:color w:val="auto"/>
                <w:szCs w:val="21"/>
                <w:highlight w:val="none"/>
              </w:rPr>
              <w:t>项目厂区内无组织排放废气可得到有效控制，对周围环境影响不大。</w:t>
            </w:r>
          </w:p>
          <w:p w14:paraId="09692219">
            <w:pPr>
              <w:keepNext w:val="0"/>
              <w:keepLines w:val="0"/>
              <w:suppressLineNumbers w:val="0"/>
              <w:spacing w:before="0" w:beforeAutospacing="0" w:after="0" w:afterAutospacing="0"/>
              <w:ind w:left="0" w:right="0" w:firstLine="420" w:firstLineChars="200"/>
              <w:rPr>
                <w:rFonts w:hint="default"/>
                <w:color w:val="auto"/>
                <w:szCs w:val="21"/>
                <w:lang w:bidi="ar"/>
              </w:rPr>
            </w:pPr>
            <w:r>
              <w:rPr>
                <w:rFonts w:hint="default"/>
                <w:color w:val="auto"/>
                <w:szCs w:val="21"/>
                <w:lang w:bidi="ar"/>
              </w:rPr>
              <w:t>根据《大气污染物综合排放标准》（GB16297-1996）附录A等效排气筒的相关规定：排气筒</w:t>
            </w:r>
            <w:r>
              <w:rPr>
                <w:rFonts w:hint="eastAsia"/>
                <w:color w:val="auto"/>
                <w:kern w:val="0"/>
                <w:szCs w:val="21"/>
              </w:rPr>
              <w:t>DA00</w:t>
            </w:r>
            <w:r>
              <w:rPr>
                <w:rFonts w:hint="eastAsia"/>
                <w:color w:val="auto"/>
                <w:kern w:val="0"/>
                <w:szCs w:val="21"/>
                <w:lang w:val="en-US" w:eastAsia="zh-CN"/>
              </w:rPr>
              <w:t>1~DA008</w:t>
            </w:r>
            <w:r>
              <w:rPr>
                <w:rFonts w:hint="default"/>
                <w:color w:val="auto"/>
                <w:szCs w:val="21"/>
                <w:lang w:bidi="ar"/>
              </w:rPr>
              <w:t>外排废气的成分相同且两</w:t>
            </w:r>
            <w:r>
              <w:rPr>
                <w:rFonts w:hint="default"/>
                <w:color w:val="auto"/>
                <w:szCs w:val="21"/>
              </w:rPr>
              <w:t>两</w:t>
            </w:r>
            <w:r>
              <w:rPr>
                <w:rFonts w:hint="default"/>
                <w:color w:val="auto"/>
                <w:szCs w:val="21"/>
                <w:lang w:bidi="ar"/>
              </w:rPr>
              <w:t>排气筒的间距小于</w:t>
            </w:r>
            <w:r>
              <w:rPr>
                <w:rFonts w:hint="eastAsia"/>
                <w:color w:val="auto"/>
                <w:szCs w:val="21"/>
                <w:lang w:val="en-US" w:eastAsia="zh-CN" w:bidi="ar"/>
              </w:rPr>
              <w:t>30</w:t>
            </w:r>
            <w:r>
              <w:rPr>
                <w:rFonts w:hint="default"/>
                <w:color w:val="auto"/>
                <w:szCs w:val="21"/>
                <w:lang w:bidi="ar"/>
              </w:rPr>
              <w:t>m，则排气筒</w:t>
            </w:r>
            <w:r>
              <w:rPr>
                <w:rFonts w:hint="eastAsia"/>
                <w:color w:val="auto"/>
                <w:kern w:val="0"/>
                <w:szCs w:val="21"/>
              </w:rPr>
              <w:t>DA00</w:t>
            </w:r>
            <w:r>
              <w:rPr>
                <w:rFonts w:hint="eastAsia"/>
                <w:color w:val="auto"/>
                <w:kern w:val="0"/>
                <w:szCs w:val="21"/>
                <w:lang w:val="en-US" w:eastAsia="zh-CN"/>
              </w:rPr>
              <w:t>1~</w:t>
            </w:r>
            <w:r>
              <w:rPr>
                <w:rFonts w:hint="eastAsia"/>
                <w:color w:val="auto"/>
                <w:kern w:val="0"/>
                <w:szCs w:val="21"/>
              </w:rPr>
              <w:t>DA00</w:t>
            </w:r>
            <w:r>
              <w:rPr>
                <w:rFonts w:hint="eastAsia"/>
                <w:color w:val="auto"/>
                <w:kern w:val="0"/>
                <w:szCs w:val="21"/>
                <w:lang w:val="en-US" w:eastAsia="zh-CN"/>
              </w:rPr>
              <w:t>8</w:t>
            </w:r>
            <w:r>
              <w:rPr>
                <w:rFonts w:hint="default"/>
                <w:color w:val="auto"/>
                <w:szCs w:val="21"/>
                <w:lang w:bidi="ar"/>
              </w:rPr>
              <w:t>废气排放按等效排气筒计算</w:t>
            </w:r>
            <w:r>
              <w:rPr>
                <w:rFonts w:hint="eastAsia"/>
                <w:color w:val="auto"/>
                <w:szCs w:val="21"/>
                <w:lang w:bidi="ar"/>
              </w:rPr>
              <w:t>排放速率</w:t>
            </w:r>
            <w:r>
              <w:rPr>
                <w:rFonts w:hint="default"/>
                <w:color w:val="auto"/>
                <w:szCs w:val="21"/>
                <w:lang w:bidi="ar"/>
              </w:rPr>
              <w:t>。等效排气筒</w:t>
            </w:r>
            <w:r>
              <w:rPr>
                <w:rFonts w:hint="eastAsia"/>
                <w:color w:val="auto"/>
                <w:szCs w:val="21"/>
                <w:lang w:bidi="ar"/>
              </w:rPr>
              <w:t>排放速率计算公示为Q=Q</w:t>
            </w:r>
            <w:r>
              <w:rPr>
                <w:rFonts w:hint="eastAsia"/>
                <w:color w:val="auto"/>
                <w:szCs w:val="21"/>
                <w:vertAlign w:val="subscript"/>
                <w:lang w:val="en-US" w:eastAsia="zh-CN" w:bidi="ar"/>
              </w:rPr>
              <w:t>1</w:t>
            </w:r>
            <w:r>
              <w:rPr>
                <w:rFonts w:hint="eastAsia"/>
                <w:color w:val="auto"/>
                <w:szCs w:val="21"/>
                <w:lang w:bidi="ar"/>
              </w:rPr>
              <w:t>+Q</w:t>
            </w:r>
            <w:r>
              <w:rPr>
                <w:rFonts w:hint="eastAsia"/>
                <w:color w:val="auto"/>
                <w:szCs w:val="21"/>
                <w:vertAlign w:val="subscript"/>
                <w:lang w:val="en-US" w:eastAsia="zh-CN" w:bidi="ar"/>
              </w:rPr>
              <w:t>2</w:t>
            </w:r>
            <w:r>
              <w:rPr>
                <w:rFonts w:hint="eastAsia"/>
                <w:color w:val="auto"/>
                <w:szCs w:val="21"/>
                <w:lang w:bidi="ar"/>
              </w:rPr>
              <w:t>+Q</w:t>
            </w:r>
            <w:r>
              <w:rPr>
                <w:rFonts w:hint="eastAsia"/>
                <w:color w:val="auto"/>
                <w:szCs w:val="21"/>
                <w:vertAlign w:val="subscript"/>
                <w:lang w:val="en-US" w:eastAsia="zh-CN" w:bidi="ar"/>
              </w:rPr>
              <w:t>3+</w:t>
            </w:r>
            <w:r>
              <w:rPr>
                <w:rFonts w:hint="eastAsia"/>
                <w:color w:val="auto"/>
                <w:szCs w:val="21"/>
                <w:lang w:bidi="ar"/>
              </w:rPr>
              <w:t>Q</w:t>
            </w:r>
            <w:r>
              <w:rPr>
                <w:rFonts w:hint="eastAsia"/>
                <w:color w:val="auto"/>
                <w:szCs w:val="21"/>
                <w:vertAlign w:val="subscript"/>
                <w:lang w:val="en-US" w:eastAsia="zh-CN" w:bidi="ar"/>
              </w:rPr>
              <w:t>4</w:t>
            </w:r>
            <w:r>
              <w:rPr>
                <w:rFonts w:hint="eastAsia"/>
                <w:color w:val="auto"/>
                <w:szCs w:val="21"/>
                <w:lang w:bidi="ar"/>
              </w:rPr>
              <w:t>+Q</w:t>
            </w:r>
            <w:r>
              <w:rPr>
                <w:rFonts w:hint="eastAsia"/>
                <w:color w:val="auto"/>
                <w:szCs w:val="21"/>
                <w:vertAlign w:val="subscript"/>
                <w:lang w:val="en-US" w:eastAsia="zh-CN" w:bidi="ar"/>
              </w:rPr>
              <w:t>5</w:t>
            </w:r>
            <w:r>
              <w:rPr>
                <w:rFonts w:hint="eastAsia"/>
                <w:color w:val="auto"/>
                <w:szCs w:val="21"/>
                <w:lang w:bidi="ar"/>
              </w:rPr>
              <w:t>+Q</w:t>
            </w:r>
            <w:r>
              <w:rPr>
                <w:rFonts w:hint="eastAsia"/>
                <w:color w:val="auto"/>
                <w:szCs w:val="21"/>
                <w:vertAlign w:val="subscript"/>
                <w:lang w:val="en-US" w:eastAsia="zh-CN" w:bidi="ar"/>
              </w:rPr>
              <w:t>6</w:t>
            </w:r>
            <w:r>
              <w:rPr>
                <w:rFonts w:hint="eastAsia"/>
                <w:color w:val="auto"/>
                <w:szCs w:val="21"/>
                <w:lang w:bidi="ar"/>
              </w:rPr>
              <w:t>+Q</w:t>
            </w:r>
            <w:r>
              <w:rPr>
                <w:rFonts w:hint="eastAsia"/>
                <w:color w:val="auto"/>
                <w:szCs w:val="21"/>
                <w:vertAlign w:val="subscript"/>
                <w:lang w:val="en-US" w:eastAsia="zh-CN" w:bidi="ar"/>
              </w:rPr>
              <w:t>7</w:t>
            </w:r>
            <w:r>
              <w:rPr>
                <w:rFonts w:hint="eastAsia"/>
                <w:color w:val="auto"/>
                <w:szCs w:val="21"/>
                <w:lang w:bidi="ar"/>
              </w:rPr>
              <w:t>+Q</w:t>
            </w:r>
            <w:r>
              <w:rPr>
                <w:rFonts w:hint="eastAsia"/>
                <w:color w:val="auto"/>
                <w:szCs w:val="21"/>
                <w:vertAlign w:val="subscript"/>
                <w:lang w:val="en-US" w:eastAsia="zh-CN" w:bidi="ar"/>
              </w:rPr>
              <w:t>8</w:t>
            </w:r>
            <w:r>
              <w:rPr>
                <w:rFonts w:hint="eastAsia"/>
                <w:color w:val="auto"/>
                <w:szCs w:val="21"/>
                <w:vertAlign w:val="baseline"/>
                <w:lang w:val="en-US" w:eastAsia="zh-CN" w:bidi="ar"/>
              </w:rPr>
              <w:t>=0.0417kg/h</w:t>
            </w:r>
            <w:r>
              <w:rPr>
                <w:rFonts w:hint="eastAsia"/>
                <w:b/>
                <w:bCs/>
                <w:color w:val="auto"/>
              </w:rPr>
              <w:t>。</w:t>
            </w:r>
          </w:p>
          <w:p w14:paraId="7F3139A9">
            <w:pPr>
              <w:keepNext w:val="0"/>
              <w:keepLines w:val="0"/>
              <w:suppressLineNumbers w:val="0"/>
              <w:spacing w:before="0" w:beforeAutospacing="0" w:after="0" w:afterAutospacing="0"/>
              <w:ind w:left="0" w:right="0" w:firstLine="420" w:firstLineChars="200"/>
              <w:rPr>
                <w:rFonts w:hint="eastAsia"/>
                <w:color w:val="auto"/>
                <w:szCs w:val="21"/>
                <w:lang w:bidi="ar"/>
              </w:rPr>
            </w:pPr>
            <w:r>
              <w:rPr>
                <w:rFonts w:hint="default"/>
                <w:color w:val="auto"/>
                <w:szCs w:val="21"/>
                <w:lang w:bidi="ar"/>
              </w:rPr>
              <w:t>式中</w:t>
            </w:r>
            <w:r>
              <w:rPr>
                <w:rFonts w:hint="eastAsia"/>
                <w:color w:val="auto"/>
                <w:szCs w:val="21"/>
                <w:lang w:bidi="ar"/>
              </w:rPr>
              <w:t>：</w:t>
            </w:r>
            <w:r>
              <w:rPr>
                <w:rFonts w:hint="default"/>
                <w:color w:val="auto"/>
                <w:szCs w:val="21"/>
                <w:lang w:bidi="ar"/>
              </w:rPr>
              <w:t>Q</w:t>
            </w:r>
            <w:r>
              <w:rPr>
                <w:rFonts w:hint="eastAsia"/>
                <w:color w:val="auto"/>
                <w:szCs w:val="21"/>
                <w:lang w:bidi="ar"/>
              </w:rPr>
              <w:t>----</w:t>
            </w:r>
            <w:r>
              <w:rPr>
                <w:rFonts w:hint="default"/>
                <w:color w:val="auto"/>
                <w:szCs w:val="21"/>
                <w:lang w:bidi="ar"/>
              </w:rPr>
              <w:t>等效排气筒某污染物排放速率</w:t>
            </w:r>
            <w:r>
              <w:rPr>
                <w:rFonts w:hint="eastAsia"/>
                <w:color w:val="auto"/>
                <w:szCs w:val="21"/>
                <w:lang w:bidi="ar"/>
              </w:rPr>
              <w:t>；</w:t>
            </w:r>
          </w:p>
          <w:p w14:paraId="3E922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1050" w:firstLineChars="500"/>
              <w:textAlignment w:val="auto"/>
              <w:rPr>
                <w:rFonts w:hint="default"/>
                <w:color w:val="auto"/>
                <w:szCs w:val="21"/>
                <w:lang w:bidi="ar"/>
              </w:rPr>
            </w:pPr>
            <w:r>
              <w:rPr>
                <w:rFonts w:hint="default"/>
                <w:color w:val="auto"/>
                <w:szCs w:val="21"/>
                <w:lang w:bidi="ar"/>
              </w:rPr>
              <w:t>Q</w:t>
            </w:r>
            <w:r>
              <w:rPr>
                <w:rFonts w:hint="eastAsia"/>
                <w:color w:val="auto"/>
                <w:szCs w:val="21"/>
                <w:vertAlign w:val="subscript"/>
                <w:lang w:val="en-US" w:eastAsia="zh-CN" w:bidi="ar"/>
              </w:rPr>
              <w:t>1</w:t>
            </w:r>
            <w:r>
              <w:rPr>
                <w:rFonts w:hint="default"/>
                <w:color w:val="auto"/>
                <w:szCs w:val="21"/>
                <w:lang w:bidi="ar"/>
              </w:rPr>
              <w:t>、Q</w:t>
            </w:r>
            <w:r>
              <w:rPr>
                <w:rFonts w:hint="eastAsia"/>
                <w:color w:val="auto"/>
                <w:szCs w:val="21"/>
                <w:vertAlign w:val="subscript"/>
                <w:lang w:val="en-US" w:eastAsia="zh-CN" w:bidi="ar"/>
              </w:rPr>
              <w:t>2</w:t>
            </w:r>
            <w:r>
              <w:rPr>
                <w:rFonts w:hint="eastAsia"/>
                <w:color w:val="auto"/>
                <w:szCs w:val="21"/>
                <w:lang w:bidi="ar"/>
              </w:rPr>
              <w:t>、Q</w:t>
            </w:r>
            <w:r>
              <w:rPr>
                <w:rFonts w:hint="eastAsia"/>
                <w:color w:val="auto"/>
                <w:szCs w:val="21"/>
                <w:vertAlign w:val="subscript"/>
                <w:lang w:val="en-US" w:eastAsia="zh-CN" w:bidi="ar"/>
              </w:rPr>
              <w:t>3</w:t>
            </w:r>
            <w:r>
              <w:rPr>
                <w:rFonts w:hint="eastAsia"/>
                <w:color w:val="auto"/>
                <w:szCs w:val="21"/>
                <w:vertAlign w:val="baseline"/>
                <w:lang w:val="en-US" w:eastAsia="zh-CN" w:bidi="ar"/>
              </w:rPr>
              <w:t>、</w:t>
            </w:r>
            <w:r>
              <w:rPr>
                <w:rFonts w:hint="eastAsia"/>
                <w:color w:val="auto"/>
                <w:szCs w:val="21"/>
                <w:lang w:bidi="ar"/>
              </w:rPr>
              <w:t>Q</w:t>
            </w:r>
            <w:r>
              <w:rPr>
                <w:rFonts w:hint="eastAsia"/>
                <w:color w:val="auto"/>
                <w:szCs w:val="21"/>
                <w:vertAlign w:val="subscript"/>
                <w:lang w:val="en-US" w:eastAsia="zh-CN" w:bidi="ar"/>
              </w:rPr>
              <w:t>4</w:t>
            </w:r>
            <w:r>
              <w:rPr>
                <w:rFonts w:hint="eastAsia"/>
                <w:color w:val="auto"/>
                <w:szCs w:val="21"/>
                <w:lang w:eastAsia="zh-CN" w:bidi="ar"/>
              </w:rPr>
              <w:t>、</w:t>
            </w:r>
            <w:r>
              <w:rPr>
                <w:rFonts w:hint="eastAsia"/>
                <w:color w:val="auto"/>
                <w:szCs w:val="21"/>
                <w:lang w:bidi="ar"/>
              </w:rPr>
              <w:t>Q</w:t>
            </w:r>
            <w:r>
              <w:rPr>
                <w:rFonts w:hint="eastAsia"/>
                <w:color w:val="auto"/>
                <w:szCs w:val="21"/>
                <w:vertAlign w:val="subscript"/>
                <w:lang w:val="en-US" w:eastAsia="zh-CN" w:bidi="ar"/>
              </w:rPr>
              <w:t>5</w:t>
            </w:r>
            <w:r>
              <w:rPr>
                <w:rFonts w:hint="eastAsia"/>
                <w:color w:val="auto"/>
                <w:szCs w:val="21"/>
                <w:lang w:eastAsia="zh-CN" w:bidi="ar"/>
              </w:rPr>
              <w:t>、</w:t>
            </w:r>
            <w:r>
              <w:rPr>
                <w:rFonts w:hint="eastAsia"/>
                <w:color w:val="auto"/>
                <w:szCs w:val="21"/>
                <w:lang w:bidi="ar"/>
              </w:rPr>
              <w:t>Q</w:t>
            </w:r>
            <w:r>
              <w:rPr>
                <w:rFonts w:hint="eastAsia"/>
                <w:color w:val="auto"/>
                <w:szCs w:val="21"/>
                <w:vertAlign w:val="subscript"/>
                <w:lang w:val="en-US" w:eastAsia="zh-CN" w:bidi="ar"/>
              </w:rPr>
              <w:t>6</w:t>
            </w:r>
            <w:r>
              <w:rPr>
                <w:rFonts w:hint="eastAsia"/>
                <w:color w:val="auto"/>
                <w:szCs w:val="21"/>
                <w:lang w:eastAsia="zh-CN" w:bidi="ar"/>
              </w:rPr>
              <w:t>、</w:t>
            </w:r>
            <w:r>
              <w:rPr>
                <w:rFonts w:hint="eastAsia"/>
                <w:color w:val="auto"/>
                <w:szCs w:val="21"/>
                <w:lang w:bidi="ar"/>
              </w:rPr>
              <w:t>Q</w:t>
            </w:r>
            <w:r>
              <w:rPr>
                <w:rFonts w:hint="eastAsia"/>
                <w:color w:val="auto"/>
                <w:szCs w:val="21"/>
                <w:vertAlign w:val="subscript"/>
                <w:lang w:val="en-US" w:eastAsia="zh-CN" w:bidi="ar"/>
              </w:rPr>
              <w:t>7</w:t>
            </w:r>
            <w:r>
              <w:rPr>
                <w:rFonts w:hint="eastAsia"/>
                <w:color w:val="auto"/>
                <w:szCs w:val="21"/>
                <w:lang w:eastAsia="zh-CN" w:bidi="ar"/>
              </w:rPr>
              <w:t>、</w:t>
            </w:r>
            <w:r>
              <w:rPr>
                <w:rFonts w:hint="eastAsia"/>
                <w:color w:val="auto"/>
                <w:szCs w:val="21"/>
                <w:lang w:bidi="ar"/>
              </w:rPr>
              <w:t>Q</w:t>
            </w:r>
            <w:r>
              <w:rPr>
                <w:rFonts w:hint="eastAsia"/>
                <w:color w:val="auto"/>
                <w:szCs w:val="21"/>
                <w:vertAlign w:val="subscript"/>
                <w:lang w:val="en-US" w:eastAsia="zh-CN" w:bidi="ar"/>
              </w:rPr>
              <w:t>8</w:t>
            </w:r>
            <w:r>
              <w:rPr>
                <w:rFonts w:hint="eastAsia"/>
                <w:color w:val="auto"/>
                <w:szCs w:val="21"/>
                <w:lang w:bidi="ar"/>
              </w:rPr>
              <w:t>----</w:t>
            </w:r>
            <w:r>
              <w:rPr>
                <w:rFonts w:hint="default"/>
                <w:color w:val="auto"/>
                <w:szCs w:val="21"/>
                <w:lang w:bidi="ar"/>
              </w:rPr>
              <w:t>排气筒</w:t>
            </w:r>
            <w:r>
              <w:rPr>
                <w:rFonts w:hint="eastAsia"/>
                <w:color w:val="auto"/>
                <w:kern w:val="0"/>
                <w:szCs w:val="21"/>
              </w:rPr>
              <w:t>DA00</w:t>
            </w:r>
            <w:r>
              <w:rPr>
                <w:rFonts w:hint="eastAsia"/>
                <w:color w:val="auto"/>
                <w:kern w:val="0"/>
                <w:szCs w:val="21"/>
                <w:lang w:val="en-US" w:eastAsia="zh-CN"/>
              </w:rPr>
              <w:t>1</w:t>
            </w:r>
            <w:r>
              <w:rPr>
                <w:rFonts w:hint="eastAsia"/>
                <w:color w:val="auto"/>
                <w:szCs w:val="21"/>
                <w:lang w:val="en-US" w:eastAsia="zh-CN" w:bidi="ar"/>
              </w:rPr>
              <w:t>~</w:t>
            </w:r>
            <w:r>
              <w:rPr>
                <w:rFonts w:hint="eastAsia"/>
                <w:color w:val="auto"/>
                <w:kern w:val="0"/>
                <w:szCs w:val="21"/>
              </w:rPr>
              <w:t>DA00</w:t>
            </w:r>
            <w:r>
              <w:rPr>
                <w:rFonts w:hint="eastAsia"/>
                <w:color w:val="auto"/>
                <w:kern w:val="0"/>
                <w:szCs w:val="21"/>
                <w:lang w:val="en-US" w:eastAsia="zh-CN"/>
              </w:rPr>
              <w:t>8</w:t>
            </w:r>
            <w:r>
              <w:rPr>
                <w:rFonts w:hint="default"/>
                <w:color w:val="auto"/>
                <w:szCs w:val="21"/>
                <w:lang w:bidi="ar"/>
              </w:rPr>
              <w:t>的某污染物排放速率。</w:t>
            </w:r>
          </w:p>
          <w:p w14:paraId="12CBF2A0">
            <w:pPr>
              <w:pStyle w:val="24"/>
              <w:keepNext w:val="0"/>
              <w:keepLines w:val="0"/>
              <w:suppressLineNumbers w:val="0"/>
              <w:snapToGrid/>
              <w:spacing w:before="0" w:beforeAutospacing="0" w:after="0"/>
              <w:ind w:right="0" w:firstLine="420" w:firstLineChars="200"/>
              <w:jc w:val="both"/>
              <w:rPr>
                <w:rFonts w:hint="eastAsia"/>
                <w:color w:val="auto"/>
                <w:sz w:val="21"/>
                <w:szCs w:val="21"/>
                <w:highlight w:val="none"/>
              </w:rPr>
            </w:pPr>
            <w:r>
              <w:rPr>
                <w:rFonts w:hint="eastAsia"/>
                <w:color w:val="auto"/>
                <w:sz w:val="21"/>
                <w:szCs w:val="21"/>
                <w:lang w:bidi="ar"/>
              </w:rPr>
              <w:t>建设单位承诺本项目在</w:t>
            </w:r>
            <w:r>
              <w:rPr>
                <w:rFonts w:hint="default"/>
                <w:color w:val="auto"/>
                <w:sz w:val="21"/>
                <w:szCs w:val="21"/>
                <w:lang w:bidi="ar"/>
              </w:rPr>
              <w:t>以后的竣工验收</w:t>
            </w:r>
            <w:r>
              <w:rPr>
                <w:rFonts w:hint="eastAsia"/>
                <w:color w:val="auto"/>
                <w:sz w:val="21"/>
                <w:szCs w:val="21"/>
                <w:lang w:bidi="ar"/>
              </w:rPr>
              <w:t>、</w:t>
            </w:r>
            <w:r>
              <w:rPr>
                <w:rFonts w:hint="default"/>
                <w:color w:val="auto"/>
                <w:sz w:val="21"/>
                <w:szCs w:val="21"/>
                <w:lang w:bidi="ar"/>
              </w:rPr>
              <w:t>实际管理</w:t>
            </w:r>
            <w:r>
              <w:rPr>
                <w:rFonts w:hint="eastAsia"/>
                <w:color w:val="auto"/>
                <w:sz w:val="21"/>
                <w:szCs w:val="21"/>
                <w:lang w:bidi="ar"/>
              </w:rPr>
              <w:t>过程、以及</w:t>
            </w:r>
            <w:r>
              <w:rPr>
                <w:rFonts w:hint="default"/>
                <w:color w:val="auto"/>
                <w:sz w:val="21"/>
                <w:szCs w:val="21"/>
                <w:lang w:bidi="ar"/>
              </w:rPr>
              <w:t>接受</w:t>
            </w:r>
            <w:r>
              <w:rPr>
                <w:rFonts w:hint="eastAsia"/>
                <w:color w:val="auto"/>
                <w:sz w:val="21"/>
                <w:szCs w:val="21"/>
                <w:lang w:bidi="ar"/>
              </w:rPr>
              <w:t>环境生态</w:t>
            </w:r>
            <w:r>
              <w:rPr>
                <w:rFonts w:hint="default"/>
                <w:color w:val="auto"/>
                <w:sz w:val="21"/>
                <w:szCs w:val="21"/>
                <w:lang w:bidi="ar"/>
              </w:rPr>
              <w:t>局等监督管理</w:t>
            </w:r>
            <w:r>
              <w:rPr>
                <w:rFonts w:hint="eastAsia"/>
                <w:color w:val="auto"/>
                <w:sz w:val="21"/>
                <w:szCs w:val="21"/>
                <w:lang w:bidi="ar"/>
              </w:rPr>
              <w:t>、</w:t>
            </w:r>
            <w:r>
              <w:rPr>
                <w:rFonts w:hint="default"/>
                <w:color w:val="auto"/>
                <w:sz w:val="21"/>
                <w:szCs w:val="21"/>
                <w:lang w:bidi="ar"/>
              </w:rPr>
              <w:t>实际检测的时候，</w:t>
            </w:r>
            <w:r>
              <w:rPr>
                <w:rFonts w:hint="eastAsia"/>
                <w:color w:val="auto"/>
                <w:sz w:val="21"/>
                <w:szCs w:val="21"/>
                <w:lang w:bidi="ar"/>
              </w:rPr>
              <w:t>采</w:t>
            </w:r>
            <w:r>
              <w:rPr>
                <w:rFonts w:hint="default"/>
                <w:color w:val="auto"/>
                <w:sz w:val="21"/>
                <w:szCs w:val="21"/>
                <w:lang w:bidi="ar"/>
              </w:rPr>
              <w:t>用等效排气筒要求计算</w:t>
            </w:r>
            <w:r>
              <w:rPr>
                <w:rFonts w:hint="eastAsia"/>
                <w:color w:val="auto"/>
                <w:sz w:val="21"/>
                <w:szCs w:val="21"/>
                <w:lang w:val="en-US" w:eastAsia="zh-CN"/>
              </w:rPr>
              <w:t>木浆粉碎、芯体成型粉尘</w:t>
            </w:r>
            <w:r>
              <w:rPr>
                <w:rFonts w:hint="eastAsia"/>
                <w:color w:val="auto"/>
                <w:sz w:val="21"/>
              </w:rPr>
              <w:t>的</w:t>
            </w:r>
            <w:r>
              <w:rPr>
                <w:rFonts w:hint="default"/>
                <w:color w:val="auto"/>
                <w:sz w:val="21"/>
                <w:szCs w:val="21"/>
                <w:lang w:bidi="ar"/>
              </w:rPr>
              <w:t>排放速率</w:t>
            </w:r>
            <w:r>
              <w:rPr>
                <w:rFonts w:hint="eastAsia"/>
                <w:color w:val="auto"/>
                <w:sz w:val="21"/>
                <w:szCs w:val="21"/>
                <w:lang w:bidi="ar"/>
              </w:rPr>
              <w:t>，确保等效排气筒的排放速率符合</w:t>
            </w:r>
            <w:r>
              <w:rPr>
                <w:rFonts w:hint="eastAsia" w:ascii="Times New Roman" w:hAnsi="Times New Roman" w:eastAsia="宋体" w:cs="宋体"/>
                <w:color w:val="000000"/>
                <w:sz w:val="21"/>
                <w:szCs w:val="21"/>
                <w:lang w:val="en-US" w:eastAsia="zh-CN"/>
              </w:rPr>
              <w:t>《大气污染物综合排放标准》（GB16297-1996）</w:t>
            </w:r>
            <w:r>
              <w:rPr>
                <w:rFonts w:hint="default" w:cs="宋体"/>
                <w:color w:val="auto"/>
                <w:sz w:val="21"/>
                <w:szCs w:val="21"/>
              </w:rPr>
              <w:t>的</w:t>
            </w:r>
            <w:r>
              <w:rPr>
                <w:rFonts w:hint="eastAsia"/>
                <w:color w:val="auto"/>
                <w:sz w:val="21"/>
                <w:szCs w:val="21"/>
                <w:lang w:bidi="ar"/>
              </w:rPr>
              <w:t>标准限值要求</w:t>
            </w:r>
            <w:r>
              <w:rPr>
                <w:rFonts w:hint="eastAsia"/>
                <w:color w:val="auto"/>
                <w:sz w:val="21"/>
                <w:szCs w:val="21"/>
                <w:highlight w:val="none"/>
              </w:rPr>
              <w:t>。</w:t>
            </w:r>
          </w:p>
          <w:p w14:paraId="614B3211">
            <w:pPr>
              <w:keepNext w:val="0"/>
              <w:keepLines w:val="0"/>
              <w:suppressLineNumbers w:val="0"/>
              <w:spacing w:before="0" w:beforeAutospacing="0" w:after="0" w:afterAutospacing="0"/>
              <w:ind w:left="0" w:right="0"/>
              <w:rPr>
                <w:rFonts w:hint="default"/>
                <w:b/>
                <w:bCs/>
                <w:color w:val="auto"/>
                <w:szCs w:val="21"/>
                <w:highlight w:val="none"/>
              </w:rPr>
            </w:pPr>
            <w:r>
              <w:rPr>
                <w:rFonts w:hint="default"/>
                <w:b/>
                <w:bCs/>
                <w:color w:val="auto"/>
                <w:szCs w:val="21"/>
                <w:highlight w:val="none"/>
              </w:rPr>
              <w:t>4.</w:t>
            </w:r>
            <w:r>
              <w:rPr>
                <w:rFonts w:hint="eastAsia"/>
                <w:b/>
                <w:bCs/>
                <w:color w:val="auto"/>
                <w:szCs w:val="21"/>
                <w:highlight w:val="none"/>
              </w:rPr>
              <w:t>2</w:t>
            </w:r>
            <w:r>
              <w:rPr>
                <w:rFonts w:hint="default"/>
                <w:b/>
                <w:bCs/>
                <w:color w:val="auto"/>
                <w:szCs w:val="21"/>
                <w:highlight w:val="none"/>
              </w:rPr>
              <w:t>.</w:t>
            </w:r>
            <w:r>
              <w:rPr>
                <w:rFonts w:hint="eastAsia"/>
                <w:b/>
                <w:bCs/>
                <w:color w:val="auto"/>
                <w:szCs w:val="21"/>
                <w:highlight w:val="none"/>
              </w:rPr>
              <w:t>5废气监测计划</w:t>
            </w:r>
          </w:p>
          <w:p w14:paraId="726D57EC">
            <w:pPr>
              <w:keepNext w:val="0"/>
              <w:keepLines/>
              <w:suppressLineNumbers w:val="0"/>
              <w:spacing w:before="0" w:beforeAutospacing="0" w:after="0" w:afterAutospacing="0"/>
              <w:ind w:left="0" w:right="0" w:firstLine="420" w:firstLineChars="200"/>
              <w:rPr>
                <w:rFonts w:hint="default"/>
                <w:color w:val="auto"/>
                <w:highlight w:val="none"/>
              </w:rPr>
            </w:pPr>
            <w:r>
              <w:rPr>
                <w:rFonts w:hint="eastAsia"/>
                <w:color w:val="auto"/>
                <w:szCs w:val="21"/>
                <w:highlight w:val="none"/>
              </w:rPr>
              <w:t>对照中华人民共和国生态环境部令第11号《固定污染源排污许可分类管理名录（2019年版）》可知，本项目属于</w:t>
            </w:r>
            <w:r>
              <w:rPr>
                <w:rFonts w:hint="eastAsia"/>
                <w:color w:val="auto"/>
                <w:szCs w:val="21"/>
                <w:highlight w:val="none"/>
                <w:lang w:val="en-US" w:eastAsia="zh-CN"/>
              </w:rPr>
              <w:t>卫生巾、护垫、经期裤</w:t>
            </w:r>
            <w:r>
              <w:rPr>
                <w:rFonts w:hint="eastAsia"/>
                <w:color w:val="auto"/>
                <w:szCs w:val="21"/>
                <w:highlight w:val="none"/>
              </w:rPr>
              <w:t>生产行业，属于</w:t>
            </w:r>
            <w:r>
              <w:rPr>
                <w:rFonts w:hint="eastAsia"/>
                <w:color w:val="auto"/>
                <w:szCs w:val="21"/>
                <w:highlight w:val="none"/>
                <w:lang w:val="en-US" w:eastAsia="zh-CN"/>
              </w:rPr>
              <w:t>简化管理</w:t>
            </w:r>
            <w:r>
              <w:rPr>
                <w:rFonts w:hint="eastAsia"/>
                <w:color w:val="auto"/>
                <w:szCs w:val="21"/>
                <w:highlight w:val="none"/>
              </w:rPr>
              <w:t>。</w:t>
            </w:r>
            <w:r>
              <w:rPr>
                <w:rFonts w:hint="default"/>
                <w:sz w:val="21"/>
                <w:szCs w:val="21"/>
              </w:rPr>
              <w:t>本项目的监测频次参照</w:t>
            </w:r>
            <w:r>
              <w:rPr>
                <w:rFonts w:hint="eastAsia"/>
                <w:sz w:val="21"/>
                <w:szCs w:val="21"/>
              </w:rPr>
              <w:t>《排污单位自行监测技术指南 总则》（HJ 819-2017）</w:t>
            </w:r>
            <w:r>
              <w:rPr>
                <w:rFonts w:hint="default"/>
                <w:sz w:val="21"/>
                <w:szCs w:val="21"/>
              </w:rPr>
              <w:t>。</w:t>
            </w:r>
            <w:r>
              <w:rPr>
                <w:rFonts w:hint="eastAsia"/>
                <w:color w:val="auto"/>
                <w:highlight w:val="none"/>
              </w:rPr>
              <w:t>如政策变化或者主管部门要求监测，项目可根据相关规范的要求制定相应的监测计划。具体监测计划见下表：</w:t>
            </w:r>
          </w:p>
          <w:p w14:paraId="519F6C01">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rPr>
            </w:pPr>
            <w:r>
              <w:rPr>
                <w:rFonts w:hint="default"/>
                <w:b/>
                <w:bCs/>
                <w:color w:val="auto"/>
                <w:sz w:val="21"/>
                <w:szCs w:val="21"/>
                <w:highlight w:val="none"/>
              </w:rPr>
              <w:t>表4-</w:t>
            </w:r>
            <w:r>
              <w:rPr>
                <w:rFonts w:hint="eastAsia"/>
                <w:b/>
                <w:bCs/>
                <w:color w:val="auto"/>
                <w:sz w:val="21"/>
                <w:szCs w:val="21"/>
                <w:highlight w:val="none"/>
                <w:lang w:val="en-US" w:eastAsia="zh-CN"/>
              </w:rPr>
              <w:t>16</w:t>
            </w:r>
            <w:r>
              <w:rPr>
                <w:rFonts w:hint="default"/>
                <w:b/>
                <w:bCs/>
                <w:color w:val="auto"/>
                <w:sz w:val="21"/>
                <w:szCs w:val="21"/>
                <w:highlight w:val="none"/>
              </w:rPr>
              <w:t xml:space="preserve"> </w:t>
            </w:r>
            <w:r>
              <w:rPr>
                <w:rFonts w:hint="eastAsia"/>
                <w:b/>
                <w:bCs/>
                <w:color w:val="auto"/>
                <w:sz w:val="21"/>
                <w:szCs w:val="21"/>
                <w:highlight w:val="none"/>
              </w:rPr>
              <w:t xml:space="preserve"> 废气</w:t>
            </w:r>
            <w:r>
              <w:rPr>
                <w:rFonts w:hint="default"/>
                <w:b/>
                <w:bCs/>
                <w:color w:val="auto"/>
                <w:sz w:val="21"/>
                <w:szCs w:val="21"/>
                <w:highlight w:val="none"/>
              </w:rPr>
              <w:t>监测计划一览表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578"/>
              <w:gridCol w:w="2514"/>
              <w:gridCol w:w="2184"/>
            </w:tblGrid>
            <w:tr w14:paraId="39C6045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578" w:type="dxa"/>
                  <w:noWrap w:val="0"/>
                  <w:vAlign w:val="center"/>
                </w:tcPr>
                <w:p w14:paraId="34C38746">
                  <w:pPr>
                    <w:keepNext w:val="0"/>
                    <w:keepLines/>
                    <w:suppressLineNumbers w:val="0"/>
                    <w:snapToGrid w:val="0"/>
                    <w:spacing w:before="24" w:beforeLines="10" w:beforeAutospacing="0" w:after="24" w:afterLines="10" w:afterAutospacing="0" w:line="240" w:lineRule="auto"/>
                    <w:ind w:left="0" w:right="0"/>
                    <w:jc w:val="center"/>
                    <w:rPr>
                      <w:rFonts w:hint="default"/>
                      <w:b/>
                      <w:bCs/>
                      <w:color w:val="auto"/>
                      <w:szCs w:val="21"/>
                      <w:highlight w:val="none"/>
                    </w:rPr>
                  </w:pPr>
                  <w:r>
                    <w:rPr>
                      <w:rFonts w:hint="default"/>
                      <w:b/>
                      <w:bCs/>
                      <w:color w:val="auto"/>
                      <w:szCs w:val="21"/>
                      <w:highlight w:val="none"/>
                    </w:rPr>
                    <w:t>监测位置</w:t>
                  </w:r>
                </w:p>
              </w:tc>
              <w:tc>
                <w:tcPr>
                  <w:tcW w:w="2514" w:type="dxa"/>
                  <w:noWrap w:val="0"/>
                  <w:vAlign w:val="center"/>
                </w:tcPr>
                <w:p w14:paraId="4763FBC7">
                  <w:pPr>
                    <w:keepNext w:val="0"/>
                    <w:keepLines/>
                    <w:suppressLineNumbers w:val="0"/>
                    <w:snapToGrid w:val="0"/>
                    <w:spacing w:before="24" w:beforeLines="10" w:beforeAutospacing="0" w:after="24" w:afterLines="10" w:afterAutospacing="0" w:line="240" w:lineRule="auto"/>
                    <w:ind w:left="0" w:right="0"/>
                    <w:jc w:val="center"/>
                    <w:rPr>
                      <w:rFonts w:hint="default"/>
                      <w:b/>
                      <w:bCs/>
                      <w:color w:val="auto"/>
                      <w:szCs w:val="21"/>
                      <w:highlight w:val="none"/>
                    </w:rPr>
                  </w:pPr>
                  <w:r>
                    <w:rPr>
                      <w:rFonts w:hint="default"/>
                      <w:b/>
                      <w:bCs/>
                      <w:color w:val="auto"/>
                      <w:szCs w:val="21"/>
                      <w:highlight w:val="none"/>
                    </w:rPr>
                    <w:t>监测项目</w:t>
                  </w:r>
                </w:p>
              </w:tc>
              <w:tc>
                <w:tcPr>
                  <w:tcW w:w="2184" w:type="dxa"/>
                  <w:noWrap w:val="0"/>
                  <w:vAlign w:val="center"/>
                </w:tcPr>
                <w:p w14:paraId="6E332988">
                  <w:pPr>
                    <w:keepNext w:val="0"/>
                    <w:keepLines/>
                    <w:suppressLineNumbers w:val="0"/>
                    <w:snapToGrid w:val="0"/>
                    <w:spacing w:before="24" w:beforeLines="10" w:beforeAutospacing="0" w:after="24" w:afterLines="10" w:afterAutospacing="0" w:line="240" w:lineRule="auto"/>
                    <w:ind w:left="0" w:right="0"/>
                    <w:jc w:val="center"/>
                    <w:rPr>
                      <w:rFonts w:hint="default"/>
                      <w:b/>
                      <w:bCs/>
                      <w:color w:val="auto"/>
                      <w:szCs w:val="21"/>
                      <w:highlight w:val="none"/>
                    </w:rPr>
                  </w:pPr>
                  <w:r>
                    <w:rPr>
                      <w:rFonts w:hint="default"/>
                      <w:b/>
                      <w:bCs/>
                      <w:color w:val="auto"/>
                      <w:szCs w:val="21"/>
                      <w:highlight w:val="none"/>
                    </w:rPr>
                    <w:t>监测频次</w:t>
                  </w:r>
                </w:p>
              </w:tc>
            </w:tr>
            <w:tr w14:paraId="6B8A06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578" w:type="dxa"/>
                  <w:noWrap w:val="0"/>
                  <w:vAlign w:val="center"/>
                </w:tcPr>
                <w:p w14:paraId="354FAE2C">
                  <w:pPr>
                    <w:keepNext w:val="0"/>
                    <w:keepLines/>
                    <w:suppressLineNumbers w:val="0"/>
                    <w:snapToGrid w:val="0"/>
                    <w:spacing w:before="24" w:beforeLines="10" w:beforeAutospacing="0" w:after="24" w:afterLines="10" w:afterAutospacing="0" w:line="240" w:lineRule="auto"/>
                    <w:ind w:left="0" w:right="0"/>
                    <w:jc w:val="center"/>
                    <w:rPr>
                      <w:rFonts w:hint="default"/>
                      <w:b/>
                      <w:bCs/>
                      <w:color w:val="auto"/>
                      <w:szCs w:val="21"/>
                      <w:highlight w:val="none"/>
                    </w:rPr>
                  </w:pPr>
                  <w:r>
                    <w:rPr>
                      <w:rFonts w:hint="default"/>
                      <w:color w:val="auto"/>
                      <w:szCs w:val="21"/>
                      <w:highlight w:val="none"/>
                    </w:rPr>
                    <w:t>DA001</w:t>
                  </w:r>
                </w:p>
              </w:tc>
              <w:tc>
                <w:tcPr>
                  <w:tcW w:w="2514" w:type="dxa"/>
                  <w:vMerge w:val="restart"/>
                  <w:noWrap w:val="0"/>
                  <w:vAlign w:val="center"/>
                </w:tcPr>
                <w:p w14:paraId="3C3D0E2C">
                  <w:pPr>
                    <w:keepNext w:val="0"/>
                    <w:keepLines/>
                    <w:suppressLineNumbers w:val="0"/>
                    <w:snapToGrid w:val="0"/>
                    <w:spacing w:before="24" w:beforeLines="10" w:beforeAutospacing="0" w:after="24" w:afterLines="10" w:afterAutospacing="0" w:line="240" w:lineRule="auto"/>
                    <w:ind w:left="0" w:right="0"/>
                    <w:jc w:val="center"/>
                    <w:rPr>
                      <w:rFonts w:hint="default"/>
                      <w:b/>
                      <w:bCs/>
                      <w:color w:val="auto"/>
                      <w:szCs w:val="21"/>
                      <w:highlight w:val="none"/>
                    </w:rPr>
                  </w:pPr>
                  <w:r>
                    <w:rPr>
                      <w:rFonts w:hint="eastAsia"/>
                      <w:color w:val="auto"/>
                      <w:szCs w:val="21"/>
                      <w:highlight w:val="none"/>
                    </w:rPr>
                    <w:t>颗粒物</w:t>
                  </w:r>
                </w:p>
              </w:tc>
              <w:tc>
                <w:tcPr>
                  <w:tcW w:w="2184" w:type="dxa"/>
                  <w:vMerge w:val="restart"/>
                  <w:noWrap w:val="0"/>
                  <w:vAlign w:val="center"/>
                </w:tcPr>
                <w:p w14:paraId="63B7F5E4">
                  <w:pPr>
                    <w:keepNext w:val="0"/>
                    <w:keepLines/>
                    <w:suppressLineNumbers w:val="0"/>
                    <w:snapToGrid w:val="0"/>
                    <w:spacing w:before="24" w:beforeLines="10" w:beforeAutospacing="0" w:after="24" w:afterLines="10" w:afterAutospacing="0" w:line="240" w:lineRule="auto"/>
                    <w:ind w:left="0" w:right="0"/>
                    <w:jc w:val="center"/>
                    <w:rPr>
                      <w:rFonts w:hint="default"/>
                      <w:b/>
                      <w:bCs/>
                      <w:color w:val="auto"/>
                      <w:szCs w:val="21"/>
                      <w:highlight w:val="none"/>
                    </w:rPr>
                  </w:pPr>
                  <w:bookmarkStart w:id="31" w:name="OLE_LINK29"/>
                  <w:r>
                    <w:rPr>
                      <w:rFonts w:hint="default"/>
                      <w:color w:val="auto"/>
                      <w:szCs w:val="21"/>
                      <w:highlight w:val="none"/>
                    </w:rPr>
                    <w:t>1次/年</w:t>
                  </w:r>
                  <w:bookmarkEnd w:id="31"/>
                </w:p>
              </w:tc>
            </w:tr>
            <w:tr w14:paraId="243B9C7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3578" w:type="dxa"/>
                  <w:noWrap w:val="0"/>
                  <w:vAlign w:val="center"/>
                </w:tcPr>
                <w:p w14:paraId="09CB0211">
                  <w:pPr>
                    <w:keepNext w:val="0"/>
                    <w:keepLines/>
                    <w:suppressLineNumbers w:val="0"/>
                    <w:snapToGrid w:val="0"/>
                    <w:spacing w:before="24" w:beforeLines="10" w:beforeAutospacing="0" w:after="24" w:afterLines="1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DA00</w:t>
                  </w:r>
                  <w:r>
                    <w:rPr>
                      <w:rFonts w:hint="eastAsia"/>
                      <w:color w:val="auto"/>
                      <w:szCs w:val="21"/>
                      <w:highlight w:val="none"/>
                    </w:rPr>
                    <w:t>2</w:t>
                  </w:r>
                </w:p>
              </w:tc>
              <w:tc>
                <w:tcPr>
                  <w:tcW w:w="2514" w:type="dxa"/>
                  <w:vMerge w:val="continue"/>
                  <w:noWrap w:val="0"/>
                  <w:vAlign w:val="center"/>
                </w:tcPr>
                <w:p w14:paraId="416A7756">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c>
                <w:tcPr>
                  <w:tcW w:w="2184" w:type="dxa"/>
                  <w:vMerge w:val="continue"/>
                  <w:noWrap w:val="0"/>
                  <w:vAlign w:val="center"/>
                </w:tcPr>
                <w:p w14:paraId="103C88EB">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r>
            <w:tr w14:paraId="6356A79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578" w:type="dxa"/>
                  <w:noWrap w:val="0"/>
                  <w:vAlign w:val="center"/>
                </w:tcPr>
                <w:p w14:paraId="4DB4D239">
                  <w:pPr>
                    <w:keepNext w:val="0"/>
                    <w:keepLines/>
                    <w:suppressLineNumbers w:val="0"/>
                    <w:snapToGrid w:val="0"/>
                    <w:spacing w:before="24" w:beforeLines="10" w:beforeAutospacing="0" w:after="24" w:afterLines="1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DA003</w:t>
                  </w:r>
                </w:p>
              </w:tc>
              <w:tc>
                <w:tcPr>
                  <w:tcW w:w="2514" w:type="dxa"/>
                  <w:vMerge w:val="continue"/>
                  <w:noWrap w:val="0"/>
                  <w:vAlign w:val="center"/>
                </w:tcPr>
                <w:p w14:paraId="6C83BE74">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c>
                <w:tcPr>
                  <w:tcW w:w="2184" w:type="dxa"/>
                  <w:vMerge w:val="continue"/>
                  <w:noWrap w:val="0"/>
                  <w:vAlign w:val="center"/>
                </w:tcPr>
                <w:p w14:paraId="17A6F40D">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r>
            <w:tr w14:paraId="7A28F52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578" w:type="dxa"/>
                  <w:noWrap w:val="0"/>
                  <w:vAlign w:val="center"/>
                </w:tcPr>
                <w:p w14:paraId="198F2318">
                  <w:pPr>
                    <w:keepNext w:val="0"/>
                    <w:keepLines/>
                    <w:suppressLineNumbers w:val="0"/>
                    <w:snapToGrid w:val="0"/>
                    <w:spacing w:before="24" w:beforeLines="10" w:beforeAutospacing="0" w:after="24" w:afterLines="10" w:afterAutospacing="0" w:line="24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DA00</w:t>
                  </w:r>
                  <w:r>
                    <w:rPr>
                      <w:rFonts w:hint="eastAsia"/>
                      <w:color w:val="auto"/>
                      <w:szCs w:val="21"/>
                      <w:highlight w:val="none"/>
                      <w:lang w:val="en-US" w:eastAsia="zh-CN"/>
                    </w:rPr>
                    <w:t>4</w:t>
                  </w:r>
                </w:p>
              </w:tc>
              <w:tc>
                <w:tcPr>
                  <w:tcW w:w="2514" w:type="dxa"/>
                  <w:vMerge w:val="continue"/>
                  <w:noWrap w:val="0"/>
                  <w:vAlign w:val="center"/>
                </w:tcPr>
                <w:p w14:paraId="7803A384">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c>
                <w:tcPr>
                  <w:tcW w:w="2184" w:type="dxa"/>
                  <w:vMerge w:val="continue"/>
                  <w:noWrap w:val="0"/>
                  <w:vAlign w:val="center"/>
                </w:tcPr>
                <w:p w14:paraId="6B01F43F">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r>
            <w:tr w14:paraId="7526142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578" w:type="dxa"/>
                  <w:noWrap w:val="0"/>
                  <w:vAlign w:val="center"/>
                </w:tcPr>
                <w:p w14:paraId="0E6B333E">
                  <w:pPr>
                    <w:keepNext w:val="0"/>
                    <w:keepLines/>
                    <w:suppressLineNumbers w:val="0"/>
                    <w:snapToGrid w:val="0"/>
                    <w:spacing w:before="24" w:beforeLines="10" w:beforeAutospacing="0" w:after="24" w:afterLines="10" w:afterAutospacing="0" w:line="24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DA00</w:t>
                  </w:r>
                  <w:r>
                    <w:rPr>
                      <w:rFonts w:hint="eastAsia"/>
                      <w:color w:val="auto"/>
                      <w:szCs w:val="21"/>
                      <w:highlight w:val="none"/>
                      <w:lang w:val="en-US" w:eastAsia="zh-CN"/>
                    </w:rPr>
                    <w:t>5</w:t>
                  </w:r>
                </w:p>
              </w:tc>
              <w:tc>
                <w:tcPr>
                  <w:tcW w:w="2514" w:type="dxa"/>
                  <w:vMerge w:val="continue"/>
                  <w:noWrap w:val="0"/>
                  <w:vAlign w:val="center"/>
                </w:tcPr>
                <w:p w14:paraId="4F3F239B">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c>
                <w:tcPr>
                  <w:tcW w:w="2184" w:type="dxa"/>
                  <w:vMerge w:val="continue"/>
                  <w:noWrap w:val="0"/>
                  <w:vAlign w:val="center"/>
                </w:tcPr>
                <w:p w14:paraId="5C5F3BF4">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r>
            <w:tr w14:paraId="73F4773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578" w:type="dxa"/>
                  <w:noWrap w:val="0"/>
                  <w:vAlign w:val="center"/>
                </w:tcPr>
                <w:p w14:paraId="3BDA8EDF">
                  <w:pPr>
                    <w:keepNext w:val="0"/>
                    <w:keepLines/>
                    <w:suppressLineNumbers w:val="0"/>
                    <w:snapToGrid w:val="0"/>
                    <w:spacing w:before="24" w:beforeLines="10" w:beforeAutospacing="0" w:after="24" w:afterLines="10" w:afterAutospacing="0" w:line="24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DA00</w:t>
                  </w:r>
                  <w:r>
                    <w:rPr>
                      <w:rFonts w:hint="eastAsia"/>
                      <w:color w:val="auto"/>
                      <w:szCs w:val="21"/>
                      <w:highlight w:val="none"/>
                      <w:lang w:val="en-US" w:eastAsia="zh-CN"/>
                    </w:rPr>
                    <w:t>6</w:t>
                  </w:r>
                </w:p>
              </w:tc>
              <w:tc>
                <w:tcPr>
                  <w:tcW w:w="2514" w:type="dxa"/>
                  <w:vMerge w:val="continue"/>
                  <w:noWrap w:val="0"/>
                  <w:vAlign w:val="center"/>
                </w:tcPr>
                <w:p w14:paraId="519DF9C9">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c>
                <w:tcPr>
                  <w:tcW w:w="2184" w:type="dxa"/>
                  <w:vMerge w:val="continue"/>
                  <w:noWrap w:val="0"/>
                  <w:vAlign w:val="center"/>
                </w:tcPr>
                <w:p w14:paraId="64002E87">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r>
            <w:tr w14:paraId="733902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578" w:type="dxa"/>
                  <w:noWrap w:val="0"/>
                  <w:vAlign w:val="center"/>
                </w:tcPr>
                <w:p w14:paraId="10A7DDC5">
                  <w:pPr>
                    <w:keepNext w:val="0"/>
                    <w:keepLines/>
                    <w:suppressLineNumbers w:val="0"/>
                    <w:snapToGrid w:val="0"/>
                    <w:spacing w:before="24" w:beforeLines="10" w:beforeAutospacing="0" w:after="24" w:afterLines="10" w:afterAutospacing="0" w:line="240" w:lineRule="auto"/>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DA007</w:t>
                  </w:r>
                </w:p>
              </w:tc>
              <w:tc>
                <w:tcPr>
                  <w:tcW w:w="2514" w:type="dxa"/>
                  <w:vMerge w:val="continue"/>
                  <w:noWrap w:val="0"/>
                  <w:vAlign w:val="center"/>
                </w:tcPr>
                <w:p w14:paraId="3DF95CC2">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c>
                <w:tcPr>
                  <w:tcW w:w="2184" w:type="dxa"/>
                  <w:vMerge w:val="continue"/>
                  <w:noWrap w:val="0"/>
                  <w:vAlign w:val="center"/>
                </w:tcPr>
                <w:p w14:paraId="7F6D1CBB">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r>
            <w:tr w14:paraId="0FAFF07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578" w:type="dxa"/>
                  <w:noWrap w:val="0"/>
                  <w:vAlign w:val="center"/>
                </w:tcPr>
                <w:p w14:paraId="384C8B4E">
                  <w:pPr>
                    <w:keepNext w:val="0"/>
                    <w:keepLines/>
                    <w:suppressLineNumbers w:val="0"/>
                    <w:snapToGrid w:val="0"/>
                    <w:spacing w:before="24" w:beforeLines="10" w:beforeAutospacing="0" w:after="24" w:afterLines="10" w:afterAutospacing="0" w:line="24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DA00</w:t>
                  </w:r>
                  <w:r>
                    <w:rPr>
                      <w:rFonts w:hint="eastAsia"/>
                      <w:color w:val="auto"/>
                      <w:szCs w:val="21"/>
                      <w:highlight w:val="none"/>
                      <w:lang w:val="en-US" w:eastAsia="zh-CN"/>
                    </w:rPr>
                    <w:t>8</w:t>
                  </w:r>
                </w:p>
              </w:tc>
              <w:tc>
                <w:tcPr>
                  <w:tcW w:w="2514" w:type="dxa"/>
                  <w:vMerge w:val="continue"/>
                  <w:noWrap w:val="0"/>
                  <w:vAlign w:val="center"/>
                </w:tcPr>
                <w:p w14:paraId="31EDF1F9">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c>
                <w:tcPr>
                  <w:tcW w:w="2184" w:type="dxa"/>
                  <w:vMerge w:val="continue"/>
                  <w:noWrap w:val="0"/>
                  <w:vAlign w:val="center"/>
                </w:tcPr>
                <w:p w14:paraId="391F6C6E">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p>
              </w:tc>
            </w:tr>
            <w:tr w14:paraId="30073C4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578" w:type="dxa"/>
                  <w:noWrap w:val="0"/>
                  <w:vAlign w:val="center"/>
                </w:tcPr>
                <w:p w14:paraId="4D0A9E7B">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r>
                    <w:rPr>
                      <w:rFonts w:hint="default"/>
                      <w:color w:val="auto"/>
                      <w:szCs w:val="21"/>
                      <w:highlight w:val="none"/>
                    </w:rPr>
                    <w:t>厂界</w:t>
                  </w:r>
                </w:p>
              </w:tc>
              <w:tc>
                <w:tcPr>
                  <w:tcW w:w="2514" w:type="dxa"/>
                  <w:noWrap w:val="0"/>
                  <w:vAlign w:val="center"/>
                </w:tcPr>
                <w:p w14:paraId="70E5EE09">
                  <w:pPr>
                    <w:keepNext w:val="0"/>
                    <w:keepLines/>
                    <w:suppressLineNumbers w:val="0"/>
                    <w:snapToGrid w:val="0"/>
                    <w:spacing w:before="24" w:beforeLines="10" w:beforeAutospacing="0" w:after="24" w:afterLines="10" w:afterAutospacing="0" w:line="240" w:lineRule="auto"/>
                    <w:ind w:left="0" w:right="0"/>
                    <w:jc w:val="center"/>
                    <w:rPr>
                      <w:rFonts w:hint="eastAsia" w:eastAsia="宋体"/>
                      <w:color w:val="auto"/>
                      <w:szCs w:val="21"/>
                      <w:highlight w:val="none"/>
                      <w:lang w:eastAsia="zh-CN"/>
                    </w:rPr>
                  </w:pPr>
                  <w:r>
                    <w:rPr>
                      <w:rFonts w:hint="eastAsia"/>
                      <w:color w:val="auto"/>
                      <w:szCs w:val="21"/>
                      <w:highlight w:val="none"/>
                      <w:lang w:val="en-US" w:eastAsia="zh-CN"/>
                    </w:rPr>
                    <w:t>颗粒物</w:t>
                  </w:r>
                </w:p>
              </w:tc>
              <w:tc>
                <w:tcPr>
                  <w:tcW w:w="2184" w:type="dxa"/>
                  <w:noWrap w:val="0"/>
                  <w:vAlign w:val="center"/>
                </w:tcPr>
                <w:p w14:paraId="776F9BAB">
                  <w:pPr>
                    <w:keepNext w:val="0"/>
                    <w:keepLines/>
                    <w:suppressLineNumbers w:val="0"/>
                    <w:snapToGrid w:val="0"/>
                    <w:spacing w:before="24" w:beforeLines="10" w:beforeAutospacing="0" w:after="24" w:afterLines="10" w:afterAutospacing="0" w:line="240" w:lineRule="auto"/>
                    <w:ind w:left="0" w:right="0"/>
                    <w:jc w:val="center"/>
                    <w:rPr>
                      <w:rFonts w:hint="default"/>
                      <w:color w:val="auto"/>
                      <w:szCs w:val="21"/>
                      <w:highlight w:val="none"/>
                    </w:rPr>
                  </w:pPr>
                  <w:r>
                    <w:rPr>
                      <w:rFonts w:hint="default"/>
                      <w:color w:val="auto"/>
                      <w:szCs w:val="21"/>
                      <w:highlight w:val="none"/>
                    </w:rPr>
                    <w:t>1次/年</w:t>
                  </w:r>
                </w:p>
              </w:tc>
            </w:tr>
          </w:tbl>
          <w:p w14:paraId="3DAC8A37">
            <w:pPr>
              <w:keepNext w:val="0"/>
              <w:keepLines w:val="0"/>
              <w:suppressLineNumbers w:val="0"/>
              <w:spacing w:before="120" w:beforeLines="50" w:beforeAutospacing="0" w:after="0" w:afterAutospacing="0"/>
              <w:ind w:left="0" w:right="0"/>
              <w:rPr>
                <w:rFonts w:hint="default"/>
                <w:b/>
                <w:bCs/>
                <w:color w:val="auto"/>
                <w:sz w:val="24"/>
                <w:highlight w:val="none"/>
              </w:rPr>
            </w:pPr>
            <w:r>
              <w:rPr>
                <w:rFonts w:hint="default"/>
                <w:b/>
                <w:bCs/>
                <w:color w:val="auto"/>
                <w:sz w:val="24"/>
                <w:highlight w:val="none"/>
              </w:rPr>
              <w:t>4.3</w:t>
            </w:r>
            <w:r>
              <w:rPr>
                <w:rFonts w:hint="eastAsia"/>
                <w:b/>
                <w:bCs/>
                <w:color w:val="auto"/>
                <w:sz w:val="24"/>
                <w:highlight w:val="none"/>
              </w:rPr>
              <w:t>运营期</w:t>
            </w:r>
            <w:r>
              <w:rPr>
                <w:rFonts w:hint="default"/>
                <w:b/>
                <w:bCs/>
                <w:color w:val="auto"/>
                <w:sz w:val="24"/>
                <w:highlight w:val="none"/>
              </w:rPr>
              <w:t>声</w:t>
            </w:r>
            <w:r>
              <w:rPr>
                <w:rFonts w:hint="eastAsia"/>
                <w:b/>
                <w:bCs/>
                <w:color w:val="auto"/>
                <w:sz w:val="24"/>
                <w:highlight w:val="none"/>
              </w:rPr>
              <w:t>环境影响分析</w:t>
            </w:r>
          </w:p>
          <w:p w14:paraId="4139013A">
            <w:pPr>
              <w:keepNext w:val="0"/>
              <w:keepLines w:val="0"/>
              <w:suppressLineNumbers w:val="0"/>
              <w:spacing w:before="0" w:beforeAutospacing="0" w:after="0" w:afterAutospacing="0"/>
              <w:ind w:left="0" w:right="0"/>
              <w:rPr>
                <w:rFonts w:hint="default"/>
                <w:b/>
                <w:bCs/>
                <w:color w:val="auto"/>
                <w:szCs w:val="21"/>
                <w:highlight w:val="none"/>
              </w:rPr>
            </w:pPr>
            <w:r>
              <w:rPr>
                <w:rFonts w:hint="default"/>
                <w:b/>
                <w:bCs/>
                <w:color w:val="auto"/>
                <w:szCs w:val="21"/>
                <w:highlight w:val="none"/>
              </w:rPr>
              <w:t>4.</w:t>
            </w:r>
            <w:r>
              <w:rPr>
                <w:rFonts w:hint="eastAsia"/>
                <w:b/>
                <w:bCs/>
                <w:color w:val="auto"/>
                <w:szCs w:val="21"/>
                <w:highlight w:val="none"/>
              </w:rPr>
              <w:t>3</w:t>
            </w:r>
            <w:r>
              <w:rPr>
                <w:rFonts w:hint="default"/>
                <w:b/>
                <w:bCs/>
                <w:color w:val="auto"/>
                <w:szCs w:val="21"/>
                <w:highlight w:val="none"/>
              </w:rPr>
              <w:t>.</w:t>
            </w:r>
            <w:r>
              <w:rPr>
                <w:rFonts w:hint="eastAsia"/>
                <w:b/>
                <w:bCs/>
                <w:color w:val="auto"/>
                <w:szCs w:val="21"/>
                <w:highlight w:val="none"/>
              </w:rPr>
              <w:t>1噪声源强分析</w:t>
            </w:r>
          </w:p>
          <w:p w14:paraId="2792B7F7">
            <w:pPr>
              <w:keepNext w:val="0"/>
              <w:keepLines/>
              <w:widowControl/>
              <w:suppressLineNumbers w:val="0"/>
              <w:spacing w:before="0" w:beforeAutospacing="0" w:after="0" w:afterAutospacing="0"/>
              <w:ind w:left="0" w:right="0" w:firstLine="420" w:firstLineChars="200"/>
              <w:jc w:val="left"/>
              <w:rPr>
                <w:rFonts w:hint="eastAsia"/>
                <w:color w:val="auto"/>
                <w:highlight w:val="none"/>
              </w:rPr>
            </w:pPr>
            <w:r>
              <w:rPr>
                <w:rFonts w:hint="default"/>
                <w:color w:val="auto"/>
                <w:highlight w:val="none"/>
              </w:rPr>
              <w:t>项目主要高噪声设备均在厂房内，选择厂界作为预测点，进行噪声影响预测。项目运营过程中噪声源主要为机械设备噪声，项目机械设备声压级</w:t>
            </w:r>
            <w:r>
              <w:rPr>
                <w:rFonts w:hint="eastAsia" w:cs="宋体"/>
                <w:color w:val="auto"/>
                <w:szCs w:val="21"/>
                <w:highlight w:val="none"/>
              </w:rPr>
              <w:t>类比同类型企业</w:t>
            </w:r>
            <w:r>
              <w:rPr>
                <w:rFonts w:hint="eastAsia"/>
                <w:color w:val="auto"/>
                <w:highlight w:val="none"/>
              </w:rPr>
              <w:t>；同时类比参考多份</w:t>
            </w:r>
            <w:r>
              <w:rPr>
                <w:rFonts w:hint="eastAsia" w:cs="宋体"/>
                <w:color w:val="auto"/>
                <w:szCs w:val="21"/>
                <w:highlight w:val="none"/>
              </w:rPr>
              <w:t>污染源源强核算技术指南，厂房隔声的降噪效果按15</w:t>
            </w:r>
            <w:r>
              <w:rPr>
                <w:rFonts w:hint="default"/>
                <w:color w:val="auto"/>
                <w:szCs w:val="21"/>
                <w:highlight w:val="none"/>
              </w:rPr>
              <w:t>dB(A)</w:t>
            </w:r>
            <w:r>
              <w:rPr>
                <w:rFonts w:hint="eastAsia"/>
                <w:color w:val="auto"/>
                <w:szCs w:val="21"/>
                <w:highlight w:val="none"/>
              </w:rPr>
              <w:t>计</w:t>
            </w:r>
            <w:r>
              <w:rPr>
                <w:rFonts w:hint="eastAsia"/>
                <w:color w:val="auto"/>
                <w:szCs w:val="21"/>
                <w:highlight w:val="none"/>
                <w:lang w:eastAsia="zh-CN"/>
              </w:rPr>
              <w:t>，</w:t>
            </w:r>
            <w:r>
              <w:rPr>
                <w:rFonts w:hint="eastAsia"/>
                <w:color w:val="auto"/>
                <w:szCs w:val="21"/>
                <w:highlight w:val="none"/>
                <w:lang w:val="en-US" w:eastAsia="zh-CN"/>
              </w:rPr>
              <w:t>隔声罩隔声的降噪效果按</w:t>
            </w:r>
            <w:r>
              <w:rPr>
                <w:rFonts w:hint="eastAsia" w:cs="宋体"/>
                <w:color w:val="auto"/>
                <w:szCs w:val="21"/>
                <w:highlight w:val="none"/>
                <w:lang w:val="en-US" w:eastAsia="zh-CN"/>
              </w:rPr>
              <w:t>20</w:t>
            </w:r>
            <w:r>
              <w:rPr>
                <w:rFonts w:hint="default"/>
                <w:color w:val="auto"/>
                <w:szCs w:val="21"/>
                <w:highlight w:val="none"/>
              </w:rPr>
              <w:t>dB(A)</w:t>
            </w:r>
            <w:r>
              <w:rPr>
                <w:rFonts w:hint="eastAsia"/>
                <w:color w:val="auto"/>
                <w:szCs w:val="21"/>
                <w:highlight w:val="none"/>
              </w:rPr>
              <w:t>计</w:t>
            </w:r>
            <w:r>
              <w:rPr>
                <w:rFonts w:hint="eastAsia"/>
                <w:color w:val="auto"/>
                <w:highlight w:val="none"/>
              </w:rPr>
              <w:t>。项目主要生产设备详见</w:t>
            </w:r>
            <w:r>
              <w:rPr>
                <w:rFonts w:hint="eastAsia"/>
                <w:b/>
                <w:bCs/>
                <w:color w:val="auto"/>
                <w:highlight w:val="none"/>
              </w:rPr>
              <w:t>表4-</w:t>
            </w:r>
            <w:r>
              <w:rPr>
                <w:rFonts w:hint="eastAsia"/>
                <w:b/>
                <w:bCs/>
                <w:color w:val="auto"/>
                <w:highlight w:val="none"/>
                <w:lang w:val="en-US" w:eastAsia="zh-CN"/>
              </w:rPr>
              <w:t>17</w:t>
            </w:r>
            <w:r>
              <w:rPr>
                <w:rFonts w:hint="eastAsia"/>
                <w:color w:val="auto"/>
                <w:highlight w:val="none"/>
              </w:rPr>
              <w:t>。项目每天运行8小时。</w:t>
            </w:r>
          </w:p>
          <w:p w14:paraId="1350C9B8">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lang w:val="zh-CN"/>
              </w:rPr>
            </w:pPr>
            <w:r>
              <w:rPr>
                <w:rFonts w:hint="default"/>
                <w:b/>
                <w:bCs/>
                <w:color w:val="auto"/>
                <w:sz w:val="21"/>
                <w:szCs w:val="21"/>
                <w:highlight w:val="none"/>
                <w:lang w:val="zh-CN"/>
              </w:rPr>
              <w:t>表</w:t>
            </w:r>
            <w:r>
              <w:rPr>
                <w:rFonts w:hint="default"/>
                <w:b/>
                <w:bCs/>
                <w:color w:val="auto"/>
                <w:sz w:val="21"/>
                <w:szCs w:val="21"/>
                <w:highlight w:val="none"/>
              </w:rPr>
              <w:t>4</w:t>
            </w:r>
            <w:r>
              <w:rPr>
                <w:rFonts w:hint="eastAsia"/>
                <w:b/>
                <w:bCs/>
                <w:color w:val="auto"/>
                <w:sz w:val="21"/>
                <w:szCs w:val="21"/>
                <w:highlight w:val="none"/>
              </w:rPr>
              <w:t>-</w:t>
            </w:r>
            <w:r>
              <w:rPr>
                <w:rFonts w:hint="eastAsia"/>
                <w:b/>
                <w:bCs/>
                <w:color w:val="auto"/>
                <w:sz w:val="21"/>
                <w:szCs w:val="21"/>
                <w:highlight w:val="none"/>
                <w:lang w:val="en-US" w:eastAsia="zh-CN"/>
              </w:rPr>
              <w:t>17</w:t>
            </w:r>
            <w:r>
              <w:rPr>
                <w:rFonts w:hint="default"/>
                <w:b/>
                <w:bCs/>
                <w:color w:val="auto"/>
                <w:sz w:val="21"/>
                <w:szCs w:val="21"/>
                <w:highlight w:val="none"/>
              </w:rPr>
              <w:t xml:space="preserve"> </w:t>
            </w:r>
            <w:r>
              <w:rPr>
                <w:rFonts w:hint="eastAsia"/>
                <w:b/>
                <w:bCs/>
                <w:color w:val="auto"/>
                <w:sz w:val="21"/>
                <w:szCs w:val="21"/>
                <w:highlight w:val="none"/>
              </w:rPr>
              <w:t xml:space="preserve"> </w:t>
            </w:r>
            <w:r>
              <w:rPr>
                <w:rFonts w:hint="default"/>
                <w:b/>
                <w:bCs/>
                <w:color w:val="auto"/>
                <w:sz w:val="21"/>
                <w:szCs w:val="21"/>
                <w:highlight w:val="none"/>
                <w:lang w:val="zh-CN"/>
              </w:rPr>
              <w:t>项目主要生产设备</w:t>
            </w:r>
            <w:r>
              <w:rPr>
                <w:rFonts w:hint="eastAsia"/>
                <w:b/>
                <w:bCs/>
                <w:color w:val="auto"/>
                <w:sz w:val="21"/>
                <w:szCs w:val="21"/>
                <w:highlight w:val="none"/>
                <w:lang w:val="zh-CN"/>
              </w:rPr>
              <w:t>噪声</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3"/>
              <w:gridCol w:w="545"/>
              <w:gridCol w:w="1086"/>
              <w:gridCol w:w="680"/>
              <w:gridCol w:w="809"/>
              <w:gridCol w:w="988"/>
              <w:gridCol w:w="1108"/>
              <w:gridCol w:w="718"/>
              <w:gridCol w:w="858"/>
              <w:gridCol w:w="941"/>
            </w:tblGrid>
            <w:tr w14:paraId="52EF14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43" w:type="dxa"/>
                  <w:vMerge w:val="restart"/>
                  <w:noWrap w:val="0"/>
                  <w:vAlign w:val="center"/>
                </w:tcPr>
                <w:p w14:paraId="5D61BE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
                      <w:color w:val="auto"/>
                      <w:szCs w:val="21"/>
                      <w:highlight w:val="none"/>
                    </w:rPr>
                  </w:pPr>
                  <w:r>
                    <w:rPr>
                      <w:rFonts w:hint="default"/>
                      <w:b/>
                      <w:color w:val="auto"/>
                      <w:szCs w:val="21"/>
                      <w:highlight w:val="none"/>
                    </w:rPr>
                    <w:t>序号</w:t>
                  </w:r>
                </w:p>
              </w:tc>
              <w:tc>
                <w:tcPr>
                  <w:tcW w:w="545" w:type="dxa"/>
                  <w:vMerge w:val="restart"/>
                  <w:noWrap w:val="0"/>
                  <w:vAlign w:val="center"/>
                </w:tcPr>
                <w:p w14:paraId="478CB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
                      <w:color w:val="auto"/>
                      <w:szCs w:val="21"/>
                      <w:highlight w:val="none"/>
                    </w:rPr>
                  </w:pPr>
                  <w:r>
                    <w:rPr>
                      <w:rFonts w:hint="default"/>
                      <w:b/>
                      <w:color w:val="auto"/>
                      <w:szCs w:val="21"/>
                      <w:highlight w:val="none"/>
                    </w:rPr>
                    <w:t>所在位置</w:t>
                  </w:r>
                </w:p>
              </w:tc>
              <w:tc>
                <w:tcPr>
                  <w:tcW w:w="1086" w:type="dxa"/>
                  <w:vMerge w:val="restart"/>
                  <w:noWrap w:val="0"/>
                  <w:vAlign w:val="center"/>
                </w:tcPr>
                <w:p w14:paraId="70707C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
                      <w:color w:val="auto"/>
                      <w:szCs w:val="21"/>
                      <w:highlight w:val="none"/>
                    </w:rPr>
                  </w:pPr>
                  <w:r>
                    <w:rPr>
                      <w:rFonts w:hint="default"/>
                      <w:b/>
                      <w:color w:val="auto"/>
                      <w:szCs w:val="21"/>
                      <w:highlight w:val="none"/>
                    </w:rPr>
                    <w:t>设备名称</w:t>
                  </w:r>
                </w:p>
              </w:tc>
              <w:tc>
                <w:tcPr>
                  <w:tcW w:w="680" w:type="dxa"/>
                  <w:vMerge w:val="restart"/>
                  <w:noWrap w:val="0"/>
                  <w:vAlign w:val="center"/>
                </w:tcPr>
                <w:p w14:paraId="1031A93A">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textAlignment w:val="auto"/>
                    <w:rPr>
                      <w:rFonts w:hint="default" w:ascii="Times New Roman" w:hAnsi="Times New Roman"/>
                      <w:b/>
                      <w:color w:val="auto"/>
                      <w:szCs w:val="21"/>
                      <w:highlight w:val="none"/>
                    </w:rPr>
                  </w:pPr>
                  <w:r>
                    <w:rPr>
                      <w:rFonts w:hint="default" w:ascii="Times New Roman" w:hAnsi="Times New Roman"/>
                      <w:b/>
                      <w:color w:val="auto"/>
                      <w:szCs w:val="21"/>
                      <w:highlight w:val="none"/>
                    </w:rPr>
                    <w:t>数量</w:t>
                  </w:r>
                  <w:r>
                    <w:rPr>
                      <w:rFonts w:hint="eastAsia" w:ascii="Times New Roman" w:hAnsi="Times New Roman"/>
                      <w:b/>
                      <w:color w:val="auto"/>
                      <w:szCs w:val="21"/>
                      <w:highlight w:val="none"/>
                    </w:rPr>
                    <w:t>/</w:t>
                  </w:r>
                  <w:r>
                    <w:rPr>
                      <w:rFonts w:hint="eastAsia" w:cs="宋体"/>
                      <w:b/>
                      <w:color w:val="auto"/>
                      <w:szCs w:val="21"/>
                      <w:highlight w:val="none"/>
                    </w:rPr>
                    <w:t>台</w:t>
                  </w:r>
                </w:p>
              </w:tc>
              <w:tc>
                <w:tcPr>
                  <w:tcW w:w="809" w:type="dxa"/>
                  <w:vMerge w:val="restart"/>
                  <w:noWrap w:val="0"/>
                  <w:vAlign w:val="center"/>
                </w:tcPr>
                <w:p w14:paraId="270446D4">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textAlignment w:val="auto"/>
                    <w:rPr>
                      <w:rFonts w:hint="default" w:ascii="Times New Roman" w:hAnsi="Times New Roman"/>
                      <w:b/>
                      <w:color w:val="auto"/>
                      <w:szCs w:val="21"/>
                      <w:highlight w:val="none"/>
                    </w:rPr>
                  </w:pPr>
                  <w:r>
                    <w:rPr>
                      <w:rFonts w:hint="eastAsia"/>
                      <w:b/>
                      <w:color w:val="auto"/>
                      <w:szCs w:val="21"/>
                      <w:highlight w:val="none"/>
                    </w:rPr>
                    <w:t>核算方法</w:t>
                  </w:r>
                </w:p>
              </w:tc>
              <w:tc>
                <w:tcPr>
                  <w:tcW w:w="988" w:type="dxa"/>
                  <w:vMerge w:val="restart"/>
                  <w:noWrap w:val="0"/>
                  <w:vAlign w:val="center"/>
                </w:tcPr>
                <w:p w14:paraId="5B2E2F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
                      <w:color w:val="auto"/>
                      <w:szCs w:val="21"/>
                      <w:highlight w:val="none"/>
                    </w:rPr>
                  </w:pPr>
                  <w:r>
                    <w:rPr>
                      <w:rFonts w:hint="default"/>
                      <w:b/>
                      <w:color w:val="auto"/>
                      <w:szCs w:val="21"/>
                      <w:highlight w:val="none"/>
                    </w:rPr>
                    <w:t>单台设备噪声值dB(A)</w:t>
                  </w:r>
                </w:p>
              </w:tc>
              <w:tc>
                <w:tcPr>
                  <w:tcW w:w="1108" w:type="dxa"/>
                  <w:vMerge w:val="restart"/>
                  <w:noWrap w:val="0"/>
                  <w:vAlign w:val="center"/>
                </w:tcPr>
                <w:p w14:paraId="26AD59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
                      <w:color w:val="auto"/>
                      <w:szCs w:val="21"/>
                      <w:highlight w:val="none"/>
                    </w:rPr>
                  </w:pPr>
                  <w:r>
                    <w:rPr>
                      <w:rFonts w:hint="default"/>
                      <w:b/>
                      <w:color w:val="auto"/>
                      <w:szCs w:val="21"/>
                      <w:highlight w:val="none"/>
                    </w:rPr>
                    <w:t>未采取措施时总声压级dB(A)</w:t>
                  </w:r>
                </w:p>
              </w:tc>
              <w:tc>
                <w:tcPr>
                  <w:tcW w:w="1576" w:type="dxa"/>
                  <w:gridSpan w:val="2"/>
                  <w:noWrap w:val="0"/>
                  <w:vAlign w:val="center"/>
                </w:tcPr>
                <w:p w14:paraId="4DBF77DB">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textAlignment w:val="auto"/>
                    <w:rPr>
                      <w:rFonts w:hint="default" w:ascii="Times New Roman" w:hAnsi="Times New Roman"/>
                      <w:b/>
                      <w:color w:val="auto"/>
                      <w:szCs w:val="21"/>
                      <w:highlight w:val="none"/>
                    </w:rPr>
                  </w:pPr>
                  <w:r>
                    <w:rPr>
                      <w:rFonts w:hint="default" w:ascii="Times New Roman" w:hAnsi="Times New Roman"/>
                      <w:b/>
                      <w:color w:val="auto"/>
                      <w:szCs w:val="21"/>
                      <w:highlight w:val="none"/>
                    </w:rPr>
                    <w:t>控制措施</w:t>
                  </w:r>
                </w:p>
              </w:tc>
              <w:tc>
                <w:tcPr>
                  <w:tcW w:w="941" w:type="dxa"/>
                  <w:vMerge w:val="restart"/>
                  <w:noWrap w:val="0"/>
                  <w:vAlign w:val="center"/>
                </w:tcPr>
                <w:p w14:paraId="55F11DE7">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textAlignment w:val="auto"/>
                    <w:rPr>
                      <w:rFonts w:hint="default" w:ascii="Times New Roman" w:hAnsi="Times New Roman"/>
                      <w:b/>
                      <w:color w:val="auto"/>
                      <w:szCs w:val="21"/>
                      <w:highlight w:val="none"/>
                    </w:rPr>
                  </w:pPr>
                  <w:r>
                    <w:rPr>
                      <w:rFonts w:hint="default" w:ascii="Times New Roman" w:hAnsi="Times New Roman"/>
                      <w:b/>
                      <w:color w:val="auto"/>
                      <w:szCs w:val="21"/>
                      <w:highlight w:val="none"/>
                    </w:rPr>
                    <w:t>降噪后等效A声压级dB(A)</w:t>
                  </w:r>
                </w:p>
              </w:tc>
            </w:tr>
            <w:tr w14:paraId="1C6232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43" w:type="dxa"/>
                  <w:vMerge w:val="continue"/>
                  <w:noWrap w:val="0"/>
                  <w:vAlign w:val="center"/>
                </w:tcPr>
                <w:p w14:paraId="726A92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
                      <w:color w:val="auto"/>
                      <w:szCs w:val="21"/>
                      <w:highlight w:val="none"/>
                    </w:rPr>
                  </w:pPr>
                </w:p>
              </w:tc>
              <w:tc>
                <w:tcPr>
                  <w:tcW w:w="545" w:type="dxa"/>
                  <w:vMerge w:val="continue"/>
                  <w:noWrap w:val="0"/>
                  <w:vAlign w:val="center"/>
                </w:tcPr>
                <w:p w14:paraId="1FEB2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
                      <w:color w:val="auto"/>
                      <w:szCs w:val="21"/>
                      <w:highlight w:val="none"/>
                    </w:rPr>
                  </w:pPr>
                </w:p>
              </w:tc>
              <w:tc>
                <w:tcPr>
                  <w:tcW w:w="1086" w:type="dxa"/>
                  <w:vMerge w:val="continue"/>
                  <w:noWrap w:val="0"/>
                  <w:vAlign w:val="center"/>
                </w:tcPr>
                <w:p w14:paraId="0FD5F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
                      <w:color w:val="auto"/>
                      <w:szCs w:val="21"/>
                      <w:highlight w:val="none"/>
                    </w:rPr>
                  </w:pPr>
                </w:p>
              </w:tc>
              <w:tc>
                <w:tcPr>
                  <w:tcW w:w="680" w:type="dxa"/>
                  <w:vMerge w:val="continue"/>
                  <w:noWrap w:val="0"/>
                  <w:vAlign w:val="center"/>
                </w:tcPr>
                <w:p w14:paraId="281D5C0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textAlignment w:val="auto"/>
                    <w:rPr>
                      <w:rFonts w:hint="default" w:ascii="Times New Roman" w:hAnsi="Times New Roman"/>
                      <w:b/>
                      <w:color w:val="auto"/>
                      <w:szCs w:val="21"/>
                      <w:highlight w:val="none"/>
                    </w:rPr>
                  </w:pPr>
                </w:p>
              </w:tc>
              <w:tc>
                <w:tcPr>
                  <w:tcW w:w="809" w:type="dxa"/>
                  <w:vMerge w:val="continue"/>
                  <w:noWrap w:val="0"/>
                  <w:vAlign w:val="center"/>
                </w:tcPr>
                <w:p w14:paraId="3E4AF2B2">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textAlignment w:val="auto"/>
                    <w:rPr>
                      <w:rFonts w:hint="default" w:ascii="Times New Roman" w:hAnsi="Times New Roman"/>
                      <w:b/>
                      <w:color w:val="auto"/>
                      <w:szCs w:val="21"/>
                      <w:highlight w:val="none"/>
                    </w:rPr>
                  </w:pPr>
                </w:p>
              </w:tc>
              <w:tc>
                <w:tcPr>
                  <w:tcW w:w="988" w:type="dxa"/>
                  <w:vMerge w:val="continue"/>
                  <w:noWrap w:val="0"/>
                  <w:vAlign w:val="center"/>
                </w:tcPr>
                <w:p w14:paraId="50E9AEF0">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textAlignment w:val="auto"/>
                    <w:rPr>
                      <w:rFonts w:hint="default" w:ascii="Times New Roman" w:hAnsi="Times New Roman"/>
                      <w:b/>
                      <w:color w:val="auto"/>
                      <w:szCs w:val="21"/>
                      <w:highlight w:val="none"/>
                    </w:rPr>
                  </w:pPr>
                </w:p>
              </w:tc>
              <w:tc>
                <w:tcPr>
                  <w:tcW w:w="1108" w:type="dxa"/>
                  <w:vMerge w:val="continue"/>
                  <w:noWrap w:val="0"/>
                  <w:vAlign w:val="center"/>
                </w:tcPr>
                <w:p w14:paraId="4D686EB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textAlignment w:val="auto"/>
                    <w:rPr>
                      <w:rFonts w:hint="default" w:ascii="Times New Roman" w:hAnsi="Times New Roman"/>
                      <w:b/>
                      <w:color w:val="auto"/>
                      <w:szCs w:val="21"/>
                      <w:highlight w:val="none"/>
                    </w:rPr>
                  </w:pPr>
                </w:p>
              </w:tc>
              <w:tc>
                <w:tcPr>
                  <w:tcW w:w="718" w:type="dxa"/>
                  <w:noWrap w:val="0"/>
                  <w:vAlign w:val="center"/>
                </w:tcPr>
                <w:p w14:paraId="4408665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textAlignment w:val="auto"/>
                    <w:rPr>
                      <w:rFonts w:hint="default" w:ascii="Times New Roman" w:hAnsi="Times New Roman"/>
                      <w:b/>
                      <w:color w:val="auto"/>
                      <w:szCs w:val="21"/>
                      <w:highlight w:val="none"/>
                    </w:rPr>
                  </w:pPr>
                  <w:r>
                    <w:rPr>
                      <w:rFonts w:hint="default" w:ascii="Times New Roman" w:hAnsi="Times New Roman"/>
                      <w:b/>
                      <w:color w:val="auto"/>
                      <w:szCs w:val="21"/>
                      <w:highlight w:val="none"/>
                    </w:rPr>
                    <w:t>降噪措施</w:t>
                  </w:r>
                </w:p>
              </w:tc>
              <w:tc>
                <w:tcPr>
                  <w:tcW w:w="858" w:type="dxa"/>
                  <w:noWrap w:val="0"/>
                  <w:vAlign w:val="center"/>
                </w:tcPr>
                <w:p w14:paraId="36B41D8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textAlignment w:val="auto"/>
                    <w:rPr>
                      <w:rFonts w:hint="default" w:ascii="Times New Roman" w:hAnsi="Times New Roman"/>
                      <w:b/>
                      <w:color w:val="auto"/>
                      <w:szCs w:val="21"/>
                      <w:highlight w:val="none"/>
                    </w:rPr>
                  </w:pPr>
                  <w:r>
                    <w:rPr>
                      <w:rFonts w:hint="default" w:ascii="Times New Roman" w:hAnsi="Times New Roman"/>
                      <w:b/>
                      <w:color w:val="auto"/>
                      <w:szCs w:val="21"/>
                      <w:highlight w:val="none"/>
                    </w:rPr>
                    <w:t>处理量dB(A)</w:t>
                  </w:r>
                </w:p>
              </w:tc>
              <w:tc>
                <w:tcPr>
                  <w:tcW w:w="941" w:type="dxa"/>
                  <w:vMerge w:val="continue"/>
                  <w:noWrap w:val="0"/>
                  <w:vAlign w:val="center"/>
                </w:tcPr>
                <w:p w14:paraId="1EE3470E">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textAlignment w:val="auto"/>
                    <w:rPr>
                      <w:rFonts w:hint="default" w:ascii="Times New Roman" w:hAnsi="Times New Roman"/>
                      <w:b/>
                      <w:color w:val="auto"/>
                      <w:szCs w:val="21"/>
                      <w:highlight w:val="none"/>
                    </w:rPr>
                  </w:pPr>
                </w:p>
              </w:tc>
            </w:tr>
            <w:tr w14:paraId="03391F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dxa"/>
                  <w:noWrap w:val="0"/>
                  <w:vAlign w:val="center"/>
                </w:tcPr>
                <w:p w14:paraId="5F891A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r>
                    <w:rPr>
                      <w:rFonts w:hint="default"/>
                      <w:bCs/>
                      <w:color w:val="auto"/>
                      <w:szCs w:val="21"/>
                      <w:highlight w:val="none"/>
                    </w:rPr>
                    <w:t>1</w:t>
                  </w:r>
                </w:p>
              </w:tc>
              <w:tc>
                <w:tcPr>
                  <w:tcW w:w="545" w:type="dxa"/>
                  <w:vMerge w:val="restart"/>
                  <w:noWrap w:val="0"/>
                  <w:vAlign w:val="center"/>
                </w:tcPr>
                <w:p w14:paraId="6D32A5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r>
                    <w:rPr>
                      <w:rFonts w:hint="eastAsia"/>
                      <w:color w:val="auto"/>
                      <w:szCs w:val="21"/>
                      <w:highlight w:val="none"/>
                    </w:rPr>
                    <w:t>生产车间</w:t>
                  </w:r>
                </w:p>
              </w:tc>
              <w:tc>
                <w:tcPr>
                  <w:tcW w:w="1086" w:type="dxa"/>
                  <w:noWrap w:val="0"/>
                  <w:vAlign w:val="center"/>
                </w:tcPr>
                <w:p w14:paraId="27FC84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裤型卫生巾生产线（经期裤）</w:t>
                  </w:r>
                </w:p>
              </w:tc>
              <w:tc>
                <w:tcPr>
                  <w:tcW w:w="680" w:type="dxa"/>
                  <w:noWrap w:val="0"/>
                  <w:vAlign w:val="center"/>
                </w:tcPr>
                <w:p w14:paraId="0B037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eastAsia" w:eastAsia="宋体"/>
                      <w:color w:val="auto"/>
                      <w:szCs w:val="21"/>
                      <w:highlight w:val="none"/>
                      <w:lang w:val="en-US" w:eastAsia="zh-CN"/>
                    </w:rPr>
                  </w:pPr>
                  <w:r>
                    <w:rPr>
                      <w:rFonts w:hint="eastAsia"/>
                      <w:color w:val="auto"/>
                      <w:szCs w:val="21"/>
                      <w:highlight w:val="none"/>
                      <w:lang w:val="en-US" w:eastAsia="zh-CN"/>
                    </w:rPr>
                    <w:t>5</w:t>
                  </w:r>
                </w:p>
              </w:tc>
              <w:tc>
                <w:tcPr>
                  <w:tcW w:w="809" w:type="dxa"/>
                  <w:noWrap w:val="0"/>
                  <w:vAlign w:val="center"/>
                </w:tcPr>
                <w:p w14:paraId="3598E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eastAsia" w:cs="宋体"/>
                      <w:bCs/>
                      <w:color w:val="auto"/>
                      <w:szCs w:val="21"/>
                      <w:highlight w:val="none"/>
                    </w:rPr>
                  </w:pPr>
                  <w:r>
                    <w:rPr>
                      <w:rFonts w:hint="eastAsia" w:cs="宋体"/>
                      <w:color w:val="auto"/>
                      <w:highlight w:val="none"/>
                    </w:rPr>
                    <w:t>类比法</w:t>
                  </w:r>
                </w:p>
              </w:tc>
              <w:tc>
                <w:tcPr>
                  <w:tcW w:w="988" w:type="dxa"/>
                  <w:noWrap w:val="0"/>
                  <w:vAlign w:val="center"/>
                </w:tcPr>
                <w:p w14:paraId="1E8B2F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75</w:t>
                  </w:r>
                </w:p>
              </w:tc>
              <w:tc>
                <w:tcPr>
                  <w:tcW w:w="1108" w:type="dxa"/>
                  <w:noWrap w:val="0"/>
                  <w:vAlign w:val="center"/>
                </w:tcPr>
                <w:p w14:paraId="2269AD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bCs/>
                      <w:color w:val="auto"/>
                      <w:szCs w:val="21"/>
                      <w:highlight w:val="none"/>
                      <w:lang w:val="en-US" w:eastAsia="zh-CN"/>
                    </w:rPr>
                  </w:pPr>
                  <w:r>
                    <w:rPr>
                      <w:rFonts w:hint="eastAsia"/>
                      <w:bCs/>
                      <w:color w:val="auto"/>
                      <w:szCs w:val="21"/>
                      <w:highlight w:val="none"/>
                      <w:lang w:val="en-US" w:eastAsia="zh-CN"/>
                    </w:rPr>
                    <w:t>82.0</w:t>
                  </w:r>
                </w:p>
              </w:tc>
              <w:tc>
                <w:tcPr>
                  <w:tcW w:w="718" w:type="dxa"/>
                  <w:vMerge w:val="restart"/>
                  <w:noWrap w:val="0"/>
                  <w:vAlign w:val="center"/>
                </w:tcPr>
                <w:p w14:paraId="634572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r>
                    <w:rPr>
                      <w:rFonts w:hint="default"/>
                      <w:color w:val="auto"/>
                      <w:szCs w:val="21"/>
                      <w:highlight w:val="none"/>
                    </w:rPr>
                    <w:t>置于生产车间内，隔声减振</w:t>
                  </w:r>
                </w:p>
              </w:tc>
              <w:tc>
                <w:tcPr>
                  <w:tcW w:w="858" w:type="dxa"/>
                  <w:vMerge w:val="restart"/>
                  <w:noWrap w:val="0"/>
                  <w:vAlign w:val="center"/>
                </w:tcPr>
                <w:p w14:paraId="4B2B1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r>
                    <w:rPr>
                      <w:rFonts w:hint="eastAsia"/>
                      <w:bCs/>
                      <w:color w:val="auto"/>
                      <w:szCs w:val="21"/>
                      <w:highlight w:val="none"/>
                    </w:rPr>
                    <w:t>15</w:t>
                  </w:r>
                </w:p>
              </w:tc>
              <w:tc>
                <w:tcPr>
                  <w:tcW w:w="941" w:type="dxa"/>
                  <w:noWrap w:val="0"/>
                  <w:vAlign w:val="center"/>
                </w:tcPr>
                <w:p w14:paraId="11C09E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bCs/>
                      <w:color w:val="auto"/>
                      <w:szCs w:val="21"/>
                      <w:highlight w:val="none"/>
                      <w:lang w:val="en-US" w:eastAsia="zh-CN"/>
                    </w:rPr>
                  </w:pPr>
                  <w:r>
                    <w:rPr>
                      <w:rFonts w:hint="eastAsia"/>
                      <w:bCs/>
                      <w:color w:val="auto"/>
                      <w:szCs w:val="21"/>
                      <w:highlight w:val="none"/>
                      <w:lang w:val="en-US" w:eastAsia="zh-CN"/>
                    </w:rPr>
                    <w:t>67.0</w:t>
                  </w:r>
                </w:p>
              </w:tc>
            </w:tr>
            <w:tr w14:paraId="2E7E85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dxa"/>
                  <w:noWrap w:val="0"/>
                  <w:vAlign w:val="center"/>
                </w:tcPr>
                <w:p w14:paraId="099FB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r>
                    <w:rPr>
                      <w:rFonts w:hint="default"/>
                      <w:bCs/>
                      <w:color w:val="auto"/>
                      <w:szCs w:val="21"/>
                      <w:highlight w:val="none"/>
                    </w:rPr>
                    <w:t>2</w:t>
                  </w:r>
                </w:p>
              </w:tc>
              <w:tc>
                <w:tcPr>
                  <w:tcW w:w="545" w:type="dxa"/>
                  <w:vMerge w:val="continue"/>
                  <w:noWrap w:val="0"/>
                  <w:vAlign w:val="center"/>
                </w:tcPr>
                <w:p w14:paraId="54EE3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p>
              </w:tc>
              <w:tc>
                <w:tcPr>
                  <w:tcW w:w="1086" w:type="dxa"/>
                  <w:noWrap w:val="0"/>
                  <w:vAlign w:val="center"/>
                </w:tcPr>
                <w:p w14:paraId="75366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卫生巾生产线</w:t>
                  </w:r>
                </w:p>
              </w:tc>
              <w:tc>
                <w:tcPr>
                  <w:tcW w:w="680" w:type="dxa"/>
                  <w:noWrap w:val="0"/>
                  <w:vAlign w:val="center"/>
                </w:tcPr>
                <w:p w14:paraId="6F1AB5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10</w:t>
                  </w:r>
                </w:p>
              </w:tc>
              <w:tc>
                <w:tcPr>
                  <w:tcW w:w="809" w:type="dxa"/>
                  <w:noWrap w:val="0"/>
                  <w:vAlign w:val="center"/>
                </w:tcPr>
                <w:p w14:paraId="4B234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eastAsia" w:cs="宋体"/>
                      <w:bCs/>
                      <w:color w:val="auto"/>
                      <w:szCs w:val="21"/>
                      <w:highlight w:val="none"/>
                    </w:rPr>
                  </w:pPr>
                  <w:r>
                    <w:rPr>
                      <w:rFonts w:hint="eastAsia" w:cs="宋体"/>
                      <w:color w:val="auto"/>
                      <w:highlight w:val="none"/>
                    </w:rPr>
                    <w:t>类比法</w:t>
                  </w:r>
                </w:p>
              </w:tc>
              <w:tc>
                <w:tcPr>
                  <w:tcW w:w="988" w:type="dxa"/>
                  <w:noWrap w:val="0"/>
                  <w:vAlign w:val="center"/>
                </w:tcPr>
                <w:p w14:paraId="44D7F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75</w:t>
                  </w:r>
                </w:p>
              </w:tc>
              <w:tc>
                <w:tcPr>
                  <w:tcW w:w="1108" w:type="dxa"/>
                  <w:noWrap w:val="0"/>
                  <w:vAlign w:val="center"/>
                </w:tcPr>
                <w:p w14:paraId="01460B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bCs/>
                      <w:color w:val="auto"/>
                      <w:szCs w:val="21"/>
                      <w:highlight w:val="none"/>
                      <w:lang w:val="en-US" w:eastAsia="zh-CN"/>
                    </w:rPr>
                  </w:pPr>
                  <w:r>
                    <w:rPr>
                      <w:rFonts w:hint="eastAsia"/>
                      <w:bCs/>
                      <w:color w:val="auto"/>
                      <w:szCs w:val="21"/>
                      <w:highlight w:val="none"/>
                      <w:lang w:val="en-US" w:eastAsia="zh-CN"/>
                    </w:rPr>
                    <w:t>85.0</w:t>
                  </w:r>
                </w:p>
              </w:tc>
              <w:tc>
                <w:tcPr>
                  <w:tcW w:w="718" w:type="dxa"/>
                  <w:vMerge w:val="continue"/>
                  <w:noWrap w:val="0"/>
                  <w:vAlign w:val="center"/>
                </w:tcPr>
                <w:p w14:paraId="5656D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p>
              </w:tc>
              <w:tc>
                <w:tcPr>
                  <w:tcW w:w="858" w:type="dxa"/>
                  <w:vMerge w:val="continue"/>
                  <w:noWrap w:val="0"/>
                  <w:vAlign w:val="center"/>
                </w:tcPr>
                <w:p w14:paraId="4556B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p>
              </w:tc>
              <w:tc>
                <w:tcPr>
                  <w:tcW w:w="941" w:type="dxa"/>
                  <w:noWrap w:val="0"/>
                  <w:vAlign w:val="center"/>
                </w:tcPr>
                <w:p w14:paraId="06851C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bCs/>
                      <w:color w:val="auto"/>
                      <w:szCs w:val="21"/>
                      <w:highlight w:val="none"/>
                      <w:lang w:val="en-US" w:eastAsia="zh-CN"/>
                    </w:rPr>
                  </w:pPr>
                  <w:r>
                    <w:rPr>
                      <w:rFonts w:hint="eastAsia"/>
                      <w:bCs/>
                      <w:color w:val="auto"/>
                      <w:szCs w:val="21"/>
                      <w:highlight w:val="none"/>
                      <w:lang w:val="en-US" w:eastAsia="zh-CN"/>
                    </w:rPr>
                    <w:t>70.0</w:t>
                  </w:r>
                </w:p>
              </w:tc>
            </w:tr>
            <w:tr w14:paraId="470AC5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dxa"/>
                  <w:noWrap w:val="0"/>
                  <w:vAlign w:val="center"/>
                </w:tcPr>
                <w:p w14:paraId="4DE7E1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r>
                    <w:rPr>
                      <w:rFonts w:hint="default"/>
                      <w:bCs/>
                      <w:color w:val="auto"/>
                      <w:szCs w:val="21"/>
                      <w:highlight w:val="none"/>
                    </w:rPr>
                    <w:t>3</w:t>
                  </w:r>
                </w:p>
              </w:tc>
              <w:tc>
                <w:tcPr>
                  <w:tcW w:w="545" w:type="dxa"/>
                  <w:vMerge w:val="continue"/>
                  <w:noWrap w:val="0"/>
                  <w:vAlign w:val="center"/>
                </w:tcPr>
                <w:p w14:paraId="4DAFDD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p>
              </w:tc>
              <w:tc>
                <w:tcPr>
                  <w:tcW w:w="1086" w:type="dxa"/>
                  <w:noWrap w:val="0"/>
                  <w:vAlign w:val="center"/>
                </w:tcPr>
                <w:p w14:paraId="6B4FCD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护垫生产线</w:t>
                  </w:r>
                </w:p>
              </w:tc>
              <w:tc>
                <w:tcPr>
                  <w:tcW w:w="680" w:type="dxa"/>
                  <w:noWrap w:val="0"/>
                  <w:vAlign w:val="center"/>
                </w:tcPr>
                <w:p w14:paraId="509E9F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eastAsia" w:eastAsia="宋体"/>
                      <w:color w:val="auto"/>
                      <w:szCs w:val="21"/>
                      <w:highlight w:val="none"/>
                      <w:lang w:val="en-US" w:eastAsia="zh-CN"/>
                    </w:rPr>
                  </w:pPr>
                  <w:r>
                    <w:rPr>
                      <w:rFonts w:hint="eastAsia"/>
                      <w:color w:val="auto"/>
                      <w:szCs w:val="21"/>
                      <w:highlight w:val="none"/>
                      <w:lang w:val="en-US" w:eastAsia="zh-CN"/>
                    </w:rPr>
                    <w:t>1</w:t>
                  </w:r>
                </w:p>
              </w:tc>
              <w:tc>
                <w:tcPr>
                  <w:tcW w:w="809" w:type="dxa"/>
                  <w:noWrap w:val="0"/>
                  <w:vAlign w:val="center"/>
                </w:tcPr>
                <w:p w14:paraId="4AD5B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eastAsia" w:cs="宋体"/>
                      <w:bCs/>
                      <w:color w:val="auto"/>
                      <w:szCs w:val="21"/>
                      <w:highlight w:val="none"/>
                    </w:rPr>
                  </w:pPr>
                  <w:r>
                    <w:rPr>
                      <w:rFonts w:hint="eastAsia" w:cs="宋体"/>
                      <w:color w:val="auto"/>
                      <w:highlight w:val="none"/>
                    </w:rPr>
                    <w:t>类比法</w:t>
                  </w:r>
                </w:p>
              </w:tc>
              <w:tc>
                <w:tcPr>
                  <w:tcW w:w="988" w:type="dxa"/>
                  <w:noWrap w:val="0"/>
                  <w:vAlign w:val="center"/>
                </w:tcPr>
                <w:p w14:paraId="42E519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75</w:t>
                  </w:r>
                </w:p>
              </w:tc>
              <w:tc>
                <w:tcPr>
                  <w:tcW w:w="1108" w:type="dxa"/>
                  <w:noWrap w:val="0"/>
                  <w:vAlign w:val="center"/>
                </w:tcPr>
                <w:p w14:paraId="2265D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bCs/>
                      <w:color w:val="auto"/>
                      <w:szCs w:val="21"/>
                      <w:highlight w:val="none"/>
                      <w:lang w:val="en-US" w:eastAsia="zh-CN"/>
                    </w:rPr>
                  </w:pPr>
                  <w:r>
                    <w:rPr>
                      <w:rFonts w:hint="eastAsia"/>
                      <w:bCs/>
                      <w:color w:val="auto"/>
                      <w:szCs w:val="21"/>
                      <w:highlight w:val="none"/>
                      <w:lang w:val="en-US" w:eastAsia="zh-CN"/>
                    </w:rPr>
                    <w:t>75</w:t>
                  </w:r>
                </w:p>
              </w:tc>
              <w:tc>
                <w:tcPr>
                  <w:tcW w:w="718" w:type="dxa"/>
                  <w:vMerge w:val="continue"/>
                  <w:noWrap w:val="0"/>
                  <w:vAlign w:val="center"/>
                </w:tcPr>
                <w:p w14:paraId="45BAC9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p>
              </w:tc>
              <w:tc>
                <w:tcPr>
                  <w:tcW w:w="858" w:type="dxa"/>
                  <w:vMerge w:val="continue"/>
                  <w:noWrap w:val="0"/>
                  <w:vAlign w:val="center"/>
                </w:tcPr>
                <w:p w14:paraId="66BF4A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p>
              </w:tc>
              <w:tc>
                <w:tcPr>
                  <w:tcW w:w="941" w:type="dxa"/>
                  <w:noWrap w:val="0"/>
                  <w:vAlign w:val="center"/>
                </w:tcPr>
                <w:p w14:paraId="7F35CE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bCs/>
                      <w:color w:val="auto"/>
                      <w:szCs w:val="21"/>
                      <w:highlight w:val="none"/>
                      <w:lang w:val="en-US" w:eastAsia="zh-CN"/>
                    </w:rPr>
                  </w:pPr>
                  <w:r>
                    <w:rPr>
                      <w:rFonts w:hint="eastAsia"/>
                      <w:bCs/>
                      <w:color w:val="auto"/>
                      <w:szCs w:val="21"/>
                      <w:highlight w:val="none"/>
                      <w:lang w:val="en-US" w:eastAsia="zh-CN"/>
                    </w:rPr>
                    <w:t>60</w:t>
                  </w:r>
                </w:p>
              </w:tc>
            </w:tr>
            <w:tr w14:paraId="54B7AA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dxa"/>
                  <w:noWrap w:val="0"/>
                  <w:vAlign w:val="center"/>
                </w:tcPr>
                <w:p w14:paraId="79BBB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r>
                    <w:rPr>
                      <w:rFonts w:hint="default"/>
                      <w:bCs/>
                      <w:color w:val="auto"/>
                      <w:szCs w:val="21"/>
                      <w:highlight w:val="none"/>
                    </w:rPr>
                    <w:t>4</w:t>
                  </w:r>
                </w:p>
              </w:tc>
              <w:tc>
                <w:tcPr>
                  <w:tcW w:w="545" w:type="dxa"/>
                  <w:vMerge w:val="continue"/>
                  <w:noWrap w:val="0"/>
                  <w:vAlign w:val="center"/>
                </w:tcPr>
                <w:p w14:paraId="67678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p>
              </w:tc>
              <w:tc>
                <w:tcPr>
                  <w:tcW w:w="1086" w:type="dxa"/>
                  <w:noWrap w:val="0"/>
                  <w:vAlign w:val="center"/>
                </w:tcPr>
                <w:p w14:paraId="7D22B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空压机</w:t>
                  </w:r>
                </w:p>
              </w:tc>
              <w:tc>
                <w:tcPr>
                  <w:tcW w:w="680" w:type="dxa"/>
                  <w:noWrap w:val="0"/>
                  <w:vAlign w:val="center"/>
                </w:tcPr>
                <w:p w14:paraId="2B4A7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eastAsia" w:eastAsia="宋体"/>
                      <w:color w:val="auto"/>
                      <w:szCs w:val="21"/>
                      <w:highlight w:val="none"/>
                      <w:lang w:val="en-US" w:eastAsia="zh-CN"/>
                    </w:rPr>
                  </w:pPr>
                  <w:r>
                    <w:rPr>
                      <w:rFonts w:hint="eastAsia"/>
                      <w:color w:val="auto"/>
                      <w:szCs w:val="21"/>
                      <w:highlight w:val="none"/>
                      <w:lang w:val="en-US" w:eastAsia="zh-CN"/>
                    </w:rPr>
                    <w:t>7</w:t>
                  </w:r>
                </w:p>
              </w:tc>
              <w:tc>
                <w:tcPr>
                  <w:tcW w:w="809" w:type="dxa"/>
                  <w:noWrap w:val="0"/>
                  <w:vAlign w:val="center"/>
                </w:tcPr>
                <w:p w14:paraId="7F10E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eastAsia" w:cs="宋体"/>
                      <w:bCs/>
                      <w:color w:val="auto"/>
                      <w:szCs w:val="21"/>
                      <w:highlight w:val="none"/>
                    </w:rPr>
                  </w:pPr>
                  <w:r>
                    <w:rPr>
                      <w:rFonts w:hint="eastAsia" w:cs="宋体"/>
                      <w:color w:val="auto"/>
                      <w:highlight w:val="none"/>
                    </w:rPr>
                    <w:t>类比法</w:t>
                  </w:r>
                </w:p>
              </w:tc>
              <w:tc>
                <w:tcPr>
                  <w:tcW w:w="988" w:type="dxa"/>
                  <w:noWrap w:val="0"/>
                  <w:vAlign w:val="center"/>
                </w:tcPr>
                <w:p w14:paraId="4AEE0D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80</w:t>
                  </w:r>
                </w:p>
              </w:tc>
              <w:tc>
                <w:tcPr>
                  <w:tcW w:w="1108" w:type="dxa"/>
                  <w:noWrap w:val="0"/>
                  <w:vAlign w:val="center"/>
                </w:tcPr>
                <w:p w14:paraId="39E857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bCs/>
                      <w:color w:val="auto"/>
                      <w:szCs w:val="21"/>
                      <w:highlight w:val="none"/>
                      <w:lang w:val="en-US" w:eastAsia="zh-CN"/>
                    </w:rPr>
                  </w:pPr>
                  <w:r>
                    <w:rPr>
                      <w:rFonts w:hint="eastAsia"/>
                      <w:bCs/>
                      <w:color w:val="auto"/>
                      <w:szCs w:val="21"/>
                      <w:highlight w:val="none"/>
                      <w:lang w:val="en-US" w:eastAsia="zh-CN"/>
                    </w:rPr>
                    <w:t>88.5</w:t>
                  </w:r>
                </w:p>
              </w:tc>
              <w:tc>
                <w:tcPr>
                  <w:tcW w:w="718" w:type="dxa"/>
                  <w:vMerge w:val="continue"/>
                  <w:noWrap w:val="0"/>
                  <w:vAlign w:val="center"/>
                </w:tcPr>
                <w:p w14:paraId="617B14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p>
              </w:tc>
              <w:tc>
                <w:tcPr>
                  <w:tcW w:w="858" w:type="dxa"/>
                  <w:vMerge w:val="continue"/>
                  <w:noWrap w:val="0"/>
                  <w:vAlign w:val="center"/>
                </w:tcPr>
                <w:p w14:paraId="2A8E8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p>
              </w:tc>
              <w:tc>
                <w:tcPr>
                  <w:tcW w:w="941" w:type="dxa"/>
                  <w:noWrap w:val="0"/>
                  <w:vAlign w:val="center"/>
                </w:tcPr>
                <w:p w14:paraId="6D58E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bCs/>
                      <w:color w:val="auto"/>
                      <w:szCs w:val="21"/>
                      <w:highlight w:val="none"/>
                      <w:lang w:val="en-US" w:eastAsia="zh-CN"/>
                    </w:rPr>
                  </w:pPr>
                  <w:r>
                    <w:rPr>
                      <w:rFonts w:hint="eastAsia"/>
                      <w:bCs/>
                      <w:color w:val="auto"/>
                      <w:szCs w:val="21"/>
                      <w:highlight w:val="none"/>
                      <w:lang w:val="en-US" w:eastAsia="zh-CN"/>
                    </w:rPr>
                    <w:t>73.5</w:t>
                  </w:r>
                </w:p>
              </w:tc>
            </w:tr>
            <w:tr w14:paraId="3FAF34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3" w:type="dxa"/>
                  <w:noWrap w:val="0"/>
                  <w:vAlign w:val="center"/>
                </w:tcPr>
                <w:p w14:paraId="5CF231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eastAsia" w:eastAsia="宋体"/>
                      <w:bCs/>
                      <w:color w:val="auto"/>
                      <w:szCs w:val="21"/>
                      <w:highlight w:val="none"/>
                      <w:lang w:val="en-US" w:eastAsia="zh-CN"/>
                    </w:rPr>
                  </w:pPr>
                  <w:r>
                    <w:rPr>
                      <w:rFonts w:hint="eastAsia"/>
                      <w:bCs/>
                      <w:color w:val="auto"/>
                      <w:szCs w:val="21"/>
                      <w:highlight w:val="none"/>
                      <w:lang w:val="en-US" w:eastAsia="zh-CN"/>
                    </w:rPr>
                    <w:t>5</w:t>
                  </w:r>
                </w:p>
              </w:tc>
              <w:tc>
                <w:tcPr>
                  <w:tcW w:w="545" w:type="dxa"/>
                  <w:noWrap w:val="0"/>
                  <w:vAlign w:val="center"/>
                </w:tcPr>
                <w:p w14:paraId="0D404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r>
                    <w:rPr>
                      <w:rFonts w:hint="eastAsia" w:cs="Times New Roman"/>
                      <w:bCs/>
                      <w:color w:val="000000"/>
                      <w:sz w:val="21"/>
                      <w:szCs w:val="21"/>
                      <w:lang w:val="en-US" w:eastAsia="zh-CN"/>
                    </w:rPr>
                    <w:t>厂区</w:t>
                  </w:r>
                </w:p>
              </w:tc>
              <w:tc>
                <w:tcPr>
                  <w:tcW w:w="1086" w:type="dxa"/>
                  <w:noWrap w:val="0"/>
                  <w:vAlign w:val="center"/>
                </w:tcPr>
                <w:p w14:paraId="2F9799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风机</w:t>
                  </w:r>
                </w:p>
              </w:tc>
              <w:tc>
                <w:tcPr>
                  <w:tcW w:w="680" w:type="dxa"/>
                  <w:noWrap w:val="0"/>
                  <w:vAlign w:val="center"/>
                </w:tcPr>
                <w:p w14:paraId="372952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color w:val="auto"/>
                      <w:szCs w:val="21"/>
                      <w:highlight w:val="none"/>
                      <w:lang w:val="en-US" w:eastAsia="zh-CN"/>
                    </w:rPr>
                  </w:pPr>
                  <w:r>
                    <w:rPr>
                      <w:rFonts w:hint="eastAsia"/>
                      <w:color w:val="auto"/>
                      <w:szCs w:val="21"/>
                      <w:highlight w:val="none"/>
                      <w:lang w:val="en-US" w:eastAsia="zh-CN"/>
                    </w:rPr>
                    <w:t>8</w:t>
                  </w:r>
                </w:p>
              </w:tc>
              <w:tc>
                <w:tcPr>
                  <w:tcW w:w="809" w:type="dxa"/>
                  <w:noWrap w:val="0"/>
                  <w:vAlign w:val="center"/>
                </w:tcPr>
                <w:p w14:paraId="14330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eastAsia" w:cs="宋体"/>
                      <w:color w:val="auto"/>
                      <w:highlight w:val="none"/>
                    </w:rPr>
                  </w:pPr>
                  <w:r>
                    <w:rPr>
                      <w:rFonts w:hint="eastAsia" w:cs="宋体"/>
                      <w:color w:val="auto"/>
                      <w:highlight w:val="none"/>
                    </w:rPr>
                    <w:t>类比法</w:t>
                  </w:r>
                </w:p>
              </w:tc>
              <w:tc>
                <w:tcPr>
                  <w:tcW w:w="988" w:type="dxa"/>
                  <w:noWrap w:val="0"/>
                  <w:vAlign w:val="center"/>
                </w:tcPr>
                <w:p w14:paraId="435D7B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color w:val="auto"/>
                      <w:szCs w:val="21"/>
                      <w:highlight w:val="none"/>
                      <w:lang w:val="en-US" w:eastAsia="zh-CN"/>
                    </w:rPr>
                  </w:pPr>
                  <w:r>
                    <w:rPr>
                      <w:rFonts w:hint="eastAsia"/>
                      <w:color w:val="auto"/>
                      <w:szCs w:val="21"/>
                      <w:highlight w:val="none"/>
                      <w:lang w:val="en-US" w:eastAsia="zh-CN"/>
                    </w:rPr>
                    <w:t>85</w:t>
                  </w:r>
                </w:p>
              </w:tc>
              <w:tc>
                <w:tcPr>
                  <w:tcW w:w="1108" w:type="dxa"/>
                  <w:noWrap w:val="0"/>
                  <w:vAlign w:val="center"/>
                </w:tcPr>
                <w:p w14:paraId="45E54F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lang w:val="en-US" w:eastAsia="zh-CN"/>
                    </w:rPr>
                  </w:pPr>
                  <w:r>
                    <w:rPr>
                      <w:rFonts w:hint="eastAsia"/>
                      <w:bCs/>
                      <w:color w:val="auto"/>
                      <w:szCs w:val="21"/>
                      <w:highlight w:val="none"/>
                      <w:lang w:val="en-US" w:eastAsia="zh-CN"/>
                    </w:rPr>
                    <w:t>94.0</w:t>
                  </w:r>
                </w:p>
              </w:tc>
              <w:tc>
                <w:tcPr>
                  <w:tcW w:w="718" w:type="dxa"/>
                  <w:noWrap w:val="0"/>
                  <w:vAlign w:val="center"/>
                </w:tcPr>
                <w:p w14:paraId="2D564C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rPr>
                  </w:pPr>
                  <w:r>
                    <w:rPr>
                      <w:rFonts w:hint="eastAsia" w:ascii="Times New Roman" w:hAnsi="Times New Roman" w:eastAsia="宋体" w:cs="Times New Roman"/>
                      <w:bCs/>
                      <w:color w:val="000000"/>
                      <w:sz w:val="21"/>
                      <w:szCs w:val="21"/>
                      <w:lang w:val="en-US" w:eastAsia="zh-CN"/>
                    </w:rPr>
                    <w:t>隔声罩隔声</w:t>
                  </w:r>
                </w:p>
              </w:tc>
              <w:tc>
                <w:tcPr>
                  <w:tcW w:w="858" w:type="dxa"/>
                  <w:noWrap w:val="0"/>
                  <w:vAlign w:val="center"/>
                </w:tcPr>
                <w:p w14:paraId="77506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eastAsia="宋体"/>
                      <w:bCs/>
                      <w:color w:val="auto"/>
                      <w:szCs w:val="21"/>
                      <w:highlight w:val="none"/>
                      <w:lang w:val="en-US" w:eastAsia="zh-CN"/>
                    </w:rPr>
                  </w:pPr>
                  <w:r>
                    <w:rPr>
                      <w:rFonts w:hint="eastAsia"/>
                      <w:bCs/>
                      <w:color w:val="auto"/>
                      <w:szCs w:val="21"/>
                      <w:highlight w:val="none"/>
                      <w:lang w:val="en-US" w:eastAsia="zh-CN"/>
                    </w:rPr>
                    <w:t>20</w:t>
                  </w:r>
                </w:p>
              </w:tc>
              <w:tc>
                <w:tcPr>
                  <w:tcW w:w="941" w:type="dxa"/>
                  <w:noWrap w:val="0"/>
                  <w:vAlign w:val="center"/>
                </w:tcPr>
                <w:p w14:paraId="09191B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bCs/>
                      <w:color w:val="auto"/>
                      <w:szCs w:val="21"/>
                      <w:highlight w:val="none"/>
                      <w:lang w:val="en-US" w:eastAsia="zh-CN"/>
                    </w:rPr>
                  </w:pPr>
                  <w:r>
                    <w:rPr>
                      <w:rFonts w:hint="eastAsia"/>
                      <w:bCs/>
                      <w:color w:val="auto"/>
                      <w:szCs w:val="21"/>
                      <w:highlight w:val="none"/>
                      <w:lang w:val="en-US" w:eastAsia="zh-CN"/>
                    </w:rPr>
                    <w:t>74</w:t>
                  </w:r>
                </w:p>
              </w:tc>
            </w:tr>
          </w:tbl>
          <w:p w14:paraId="49268F90">
            <w:pPr>
              <w:keepNext w:val="0"/>
              <w:keepLines/>
              <w:suppressLineNumbers w:val="0"/>
              <w:spacing w:before="120" w:beforeLines="50" w:beforeAutospacing="0" w:after="0" w:afterAutospacing="0"/>
              <w:ind w:left="0" w:right="0"/>
              <w:rPr>
                <w:rFonts w:hint="eastAsia"/>
                <w:b/>
                <w:bCs/>
                <w:color w:val="auto"/>
                <w:szCs w:val="21"/>
                <w:highlight w:val="none"/>
              </w:rPr>
            </w:pPr>
            <w:r>
              <w:rPr>
                <w:rFonts w:hint="default"/>
                <w:b/>
                <w:bCs/>
                <w:color w:val="auto"/>
                <w:szCs w:val="21"/>
                <w:highlight w:val="none"/>
              </w:rPr>
              <w:t>4.</w:t>
            </w:r>
            <w:r>
              <w:rPr>
                <w:rFonts w:hint="eastAsia"/>
                <w:b/>
                <w:bCs/>
                <w:color w:val="auto"/>
                <w:szCs w:val="21"/>
                <w:highlight w:val="none"/>
              </w:rPr>
              <w:t>3</w:t>
            </w:r>
            <w:r>
              <w:rPr>
                <w:rFonts w:hint="default"/>
                <w:b/>
                <w:bCs/>
                <w:color w:val="auto"/>
                <w:szCs w:val="21"/>
                <w:highlight w:val="none"/>
              </w:rPr>
              <w:t>.</w:t>
            </w:r>
            <w:r>
              <w:rPr>
                <w:rFonts w:hint="eastAsia"/>
                <w:b/>
                <w:bCs/>
                <w:color w:val="auto"/>
                <w:szCs w:val="21"/>
                <w:highlight w:val="none"/>
              </w:rPr>
              <w:t>2声环境影响分析</w:t>
            </w:r>
          </w:p>
          <w:p w14:paraId="252D8CCD">
            <w:pPr>
              <w:keepNext w:val="0"/>
              <w:keepLines/>
              <w:suppressLineNumbers w:val="0"/>
              <w:spacing w:before="120" w:beforeLines="50" w:beforeAutospacing="0" w:after="0" w:afterAutospacing="0"/>
              <w:ind w:left="0" w:right="0" w:firstLine="420" w:firstLineChars="200"/>
              <w:rPr>
                <w:rFonts w:hint="default"/>
                <w:color w:val="auto"/>
                <w:highlight w:val="none"/>
              </w:rPr>
            </w:pPr>
            <w:r>
              <w:rPr>
                <w:rFonts w:hint="default"/>
                <w:color w:val="auto"/>
                <w:highlight w:val="none"/>
              </w:rPr>
              <w:t>根据</w:t>
            </w:r>
            <w:r>
              <w:rPr>
                <w:rFonts w:hint="eastAsia"/>
                <w:color w:val="auto"/>
                <w:highlight w:val="none"/>
              </w:rPr>
              <w:t>《环境影响</w:t>
            </w:r>
            <w:r>
              <w:rPr>
                <w:rFonts w:hint="default"/>
                <w:color w:val="auto"/>
                <w:highlight w:val="none"/>
              </w:rPr>
              <w:t>评价</w:t>
            </w:r>
            <w:r>
              <w:rPr>
                <w:rFonts w:hint="eastAsia"/>
                <w:color w:val="auto"/>
                <w:highlight w:val="none"/>
              </w:rPr>
              <w:t>技术</w:t>
            </w:r>
            <w:r>
              <w:rPr>
                <w:rFonts w:hint="default"/>
                <w:color w:val="auto"/>
                <w:highlight w:val="none"/>
              </w:rPr>
              <w:t>导则</w:t>
            </w:r>
            <w:r>
              <w:rPr>
                <w:rFonts w:hint="eastAsia"/>
                <w:color w:val="auto"/>
                <w:highlight w:val="none"/>
              </w:rPr>
              <w:t xml:space="preserve"> </w:t>
            </w:r>
            <w:r>
              <w:rPr>
                <w:rFonts w:hint="default"/>
                <w:color w:val="auto"/>
                <w:highlight w:val="none"/>
              </w:rPr>
              <w:t>声环境</w:t>
            </w:r>
            <w:r>
              <w:rPr>
                <w:rFonts w:hint="eastAsia"/>
                <w:color w:val="auto"/>
                <w:highlight w:val="none"/>
              </w:rPr>
              <w:t>》</w:t>
            </w:r>
            <w:r>
              <w:rPr>
                <w:rFonts w:hint="default"/>
                <w:color w:val="auto"/>
                <w:highlight w:val="none"/>
              </w:rPr>
              <w:t>（HJ2.4-20</w:t>
            </w:r>
            <w:r>
              <w:rPr>
                <w:rFonts w:hint="eastAsia"/>
                <w:color w:val="auto"/>
                <w:highlight w:val="none"/>
              </w:rPr>
              <w:t>21</w:t>
            </w:r>
            <w:r>
              <w:rPr>
                <w:rFonts w:hint="default"/>
                <w:color w:val="auto"/>
                <w:highlight w:val="none"/>
              </w:rPr>
              <w:t>）的规定，选取预测模式，应用过程中将根据具体情况作必要简化，预测模式如下：</w:t>
            </w:r>
          </w:p>
          <w:p w14:paraId="1590918E">
            <w:pPr>
              <w:keepNext w:val="0"/>
              <w:keepLines/>
              <w:suppressLineNumbers w:val="0"/>
              <w:spacing w:before="0" w:beforeAutospacing="0" w:after="0" w:afterAutospacing="0"/>
              <w:ind w:left="0" w:right="0" w:firstLine="420" w:firstLineChars="200"/>
              <w:rPr>
                <w:rFonts w:hint="default"/>
                <w:color w:val="auto"/>
                <w:highlight w:val="none"/>
              </w:rPr>
            </w:pPr>
            <w:r>
              <w:rPr>
                <w:rFonts w:hint="default"/>
                <w:color w:val="auto"/>
                <w:highlight w:val="none"/>
              </w:rPr>
              <w:t>（1）点声源的几何发散衰减预测模式</w:t>
            </w:r>
          </w:p>
          <w:p w14:paraId="62F92670">
            <w:pPr>
              <w:keepNext w:val="0"/>
              <w:keepLines/>
              <w:widowControl/>
              <w:suppressLineNumbers w:val="0"/>
              <w:spacing w:before="0" w:beforeAutospacing="0" w:after="0" w:afterAutospacing="0"/>
              <w:ind w:left="0" w:right="0" w:firstLine="420" w:firstLineChars="200"/>
              <w:jc w:val="center"/>
              <w:rPr>
                <w:rFonts w:hint="default"/>
                <w:color w:val="auto"/>
                <w:highlight w:val="none"/>
              </w:rPr>
            </w:pPr>
            <w:r>
              <w:rPr>
                <w:rFonts w:hint="default"/>
                <w:color w:val="auto"/>
                <w:highlight w:val="none"/>
              </w:rPr>
              <w:object>
                <v:shape id="_x0000_i1041" o:spt="75" type="#_x0000_t75" style="height:18pt;width:138pt;" o:ole="t" filled="f" o:preferrelative="t" stroked="f" coordsize="21600,21600">
                  <v:path/>
                  <v:fill on="f" focussize="0,0"/>
                  <v:stroke on="f"/>
                  <v:imagedata r:id="rId15" o:title=""/>
                  <o:lock v:ext="edit" aspectratio="t"/>
                  <w10:wrap type="none"/>
                  <w10:anchorlock/>
                </v:shape>
                <o:OLEObject Type="Embed" ProgID="Equation.3" ShapeID="_x0000_i1041" DrawAspect="Content" ObjectID="_1468075727" r:id="rId14">
                  <o:LockedField>false</o:LockedField>
                </o:OLEObject>
              </w:object>
            </w:r>
          </w:p>
          <w:p w14:paraId="3575425A">
            <w:pPr>
              <w:keepNext w:val="0"/>
              <w:keepLines/>
              <w:widowControl/>
              <w:suppressLineNumbers w:val="0"/>
              <w:spacing w:before="0" w:beforeAutospacing="0" w:after="0" w:afterAutospacing="0"/>
              <w:ind w:left="1050" w:leftChars="200" w:right="0" w:hanging="630" w:hangingChars="300"/>
              <w:jc w:val="left"/>
              <w:rPr>
                <w:rFonts w:hint="default"/>
                <w:color w:val="auto"/>
                <w:highlight w:val="none"/>
              </w:rPr>
            </w:pPr>
            <w:r>
              <w:rPr>
                <w:rFonts w:hint="default"/>
                <w:color w:val="auto"/>
                <w:highlight w:val="none"/>
              </w:rPr>
              <w:t>式中：L</w:t>
            </w:r>
            <w:r>
              <w:rPr>
                <w:rFonts w:hint="default"/>
                <w:color w:val="auto"/>
                <w:highlight w:val="none"/>
                <w:vertAlign w:val="subscript"/>
              </w:rPr>
              <w:t>A</w:t>
            </w:r>
            <w:r>
              <w:rPr>
                <w:rFonts w:hint="default"/>
                <w:color w:val="auto"/>
                <w:highlight w:val="none"/>
              </w:rPr>
              <w:t>（r）——预测点r处的A声级，dB（A）；</w:t>
            </w:r>
          </w:p>
          <w:p w14:paraId="1727E073">
            <w:pPr>
              <w:keepNext w:val="0"/>
              <w:keepLines/>
              <w:widowControl/>
              <w:suppressLineNumbers w:val="0"/>
              <w:spacing w:before="0" w:beforeAutospacing="0" w:after="0" w:afterAutospacing="0"/>
              <w:ind w:left="1050" w:leftChars="500" w:right="0"/>
              <w:jc w:val="left"/>
              <w:rPr>
                <w:rFonts w:hint="default"/>
                <w:color w:val="auto"/>
                <w:highlight w:val="none"/>
              </w:rPr>
            </w:pPr>
            <w:r>
              <w:rPr>
                <w:rFonts w:hint="default"/>
                <w:color w:val="auto"/>
                <w:highlight w:val="none"/>
              </w:rPr>
              <w:t>L</w:t>
            </w:r>
            <w:r>
              <w:rPr>
                <w:rFonts w:hint="default"/>
                <w:color w:val="auto"/>
                <w:highlight w:val="none"/>
                <w:vertAlign w:val="subscript"/>
              </w:rPr>
              <w:t>A</w:t>
            </w:r>
            <w:r>
              <w:rPr>
                <w:rFonts w:hint="default"/>
                <w:color w:val="auto"/>
                <w:highlight w:val="none"/>
              </w:rPr>
              <w:t>（r</w:t>
            </w:r>
            <w:r>
              <w:rPr>
                <w:rFonts w:hint="default"/>
                <w:color w:val="auto"/>
                <w:highlight w:val="none"/>
                <w:vertAlign w:val="subscript"/>
              </w:rPr>
              <w:t>0</w:t>
            </w:r>
            <w:r>
              <w:rPr>
                <w:rFonts w:hint="default"/>
                <w:color w:val="auto"/>
                <w:highlight w:val="none"/>
              </w:rPr>
              <w:t>）——r</w:t>
            </w:r>
            <w:r>
              <w:rPr>
                <w:rFonts w:hint="default"/>
                <w:color w:val="auto"/>
                <w:highlight w:val="none"/>
                <w:vertAlign w:val="subscript"/>
              </w:rPr>
              <w:t>0</w:t>
            </w:r>
            <w:r>
              <w:rPr>
                <w:rFonts w:hint="default"/>
                <w:color w:val="auto"/>
                <w:highlight w:val="none"/>
              </w:rPr>
              <w:t>处的A声级，dB（A）；</w:t>
            </w:r>
          </w:p>
          <w:p w14:paraId="0C42A052">
            <w:pPr>
              <w:keepNext w:val="0"/>
              <w:keepLines/>
              <w:widowControl/>
              <w:suppressLineNumbers w:val="0"/>
              <w:spacing w:before="0" w:beforeAutospacing="0" w:after="0" w:afterAutospacing="0"/>
              <w:ind w:left="0" w:right="0" w:firstLine="420" w:firstLineChars="200"/>
              <w:jc w:val="center"/>
              <w:rPr>
                <w:rFonts w:hint="default"/>
                <w:color w:val="auto"/>
                <w:highlight w:val="none"/>
              </w:rPr>
            </w:pPr>
            <w:r>
              <w:rPr>
                <w:rFonts w:hint="default"/>
                <w:color w:val="auto"/>
                <w:highlight w:val="none"/>
              </w:rPr>
              <w:object>
                <v:shape id="_x0000_i1042" o:spt="75" type="#_x0000_t75" style="height:18pt;width:90pt;" o:ole="t" filled="f" o:preferrelative="t" stroked="f" coordsize="21600,21600">
                  <v:path/>
                  <v:fill on="f" focussize="0,0"/>
                  <v:stroke on="f"/>
                  <v:imagedata r:id="rId17" o:title=""/>
                  <o:lock v:ext="edit" aspectratio="t"/>
                  <w10:wrap type="none"/>
                  <w10:anchorlock/>
                </v:shape>
                <o:OLEObject Type="Embed" ProgID="Equation.3" ShapeID="_x0000_i1042" DrawAspect="Content" ObjectID="_1468075728" r:id="rId16">
                  <o:LockedField>false</o:LockedField>
                </o:OLEObject>
              </w:object>
            </w:r>
          </w:p>
          <w:p w14:paraId="110B1ABA">
            <w:pPr>
              <w:keepNext w:val="0"/>
              <w:keepLines/>
              <w:suppressLineNumbers w:val="0"/>
              <w:spacing w:before="0" w:beforeAutospacing="0" w:after="0" w:afterAutospacing="0"/>
              <w:ind w:left="0" w:right="0" w:firstLine="840" w:firstLineChars="400"/>
              <w:rPr>
                <w:rFonts w:hint="default"/>
                <w:color w:val="auto"/>
                <w:highlight w:val="none"/>
              </w:rPr>
            </w:pPr>
            <w:r>
              <w:rPr>
                <w:rFonts w:hint="default"/>
                <w:color w:val="auto"/>
                <w:highlight w:val="none"/>
              </w:rPr>
              <w:t>式中：A</w:t>
            </w:r>
            <w:r>
              <w:rPr>
                <w:rFonts w:hint="default"/>
                <w:color w:val="auto"/>
                <w:highlight w:val="none"/>
                <w:vertAlign w:val="subscript"/>
              </w:rPr>
              <w:t>div</w:t>
            </w:r>
            <w:r>
              <w:rPr>
                <w:rFonts w:hint="default"/>
                <w:color w:val="auto"/>
                <w:highlight w:val="none"/>
              </w:rPr>
              <w:t>——预测点r处的几何发散衰减，dB（A）；</w:t>
            </w:r>
          </w:p>
          <w:p w14:paraId="6439A3CD">
            <w:pPr>
              <w:keepNext w:val="0"/>
              <w:keepLines/>
              <w:suppressLineNumbers w:val="0"/>
              <w:spacing w:before="0" w:beforeAutospacing="0" w:after="0" w:afterAutospacing="0"/>
              <w:ind w:left="0" w:right="0" w:firstLine="1470" w:firstLineChars="700"/>
              <w:rPr>
                <w:rFonts w:hint="default"/>
                <w:color w:val="auto"/>
                <w:highlight w:val="none"/>
              </w:rPr>
            </w:pPr>
            <w:r>
              <w:rPr>
                <w:rFonts w:hint="default"/>
                <w:color w:val="auto"/>
                <w:highlight w:val="none"/>
              </w:rPr>
              <w:t>r</w:t>
            </w:r>
            <w:r>
              <w:rPr>
                <w:rFonts w:hint="default"/>
                <w:color w:val="auto"/>
                <w:highlight w:val="none"/>
                <w:vertAlign w:val="subscript"/>
              </w:rPr>
              <w:t>0</w:t>
            </w:r>
            <w:r>
              <w:rPr>
                <w:rFonts w:hint="default"/>
                <w:color w:val="auto"/>
                <w:highlight w:val="none"/>
              </w:rPr>
              <w:t>——噪声合成点与噪声源的距离，m；</w:t>
            </w:r>
          </w:p>
          <w:p w14:paraId="3B102E73">
            <w:pPr>
              <w:keepNext w:val="0"/>
              <w:keepLines/>
              <w:suppressLineNumbers w:val="0"/>
              <w:spacing w:before="0" w:beforeAutospacing="0" w:after="0" w:afterAutospacing="0"/>
              <w:ind w:left="0" w:right="0" w:firstLine="1470" w:firstLineChars="700"/>
              <w:rPr>
                <w:rFonts w:hint="default"/>
                <w:color w:val="auto"/>
                <w:highlight w:val="none"/>
              </w:rPr>
            </w:pPr>
            <w:r>
              <w:rPr>
                <w:rFonts w:hint="default"/>
                <w:color w:val="auto"/>
                <w:highlight w:val="none"/>
              </w:rPr>
              <w:t>r——预测点与噪声源的距离，m。</w:t>
            </w:r>
          </w:p>
          <w:p w14:paraId="3866C788">
            <w:pPr>
              <w:keepNext w:val="0"/>
              <w:keepLines/>
              <w:suppressLineNumbers w:val="0"/>
              <w:spacing w:before="0" w:beforeAutospacing="0" w:after="0" w:afterAutospacing="0"/>
              <w:ind w:left="0" w:right="0" w:firstLine="420" w:firstLineChars="200"/>
              <w:rPr>
                <w:rFonts w:hint="default"/>
                <w:color w:val="auto"/>
                <w:highlight w:val="none"/>
              </w:rPr>
            </w:pPr>
            <w:r>
              <w:rPr>
                <w:rFonts w:hint="default"/>
                <w:color w:val="auto"/>
                <w:highlight w:val="none"/>
              </w:rPr>
              <w:t>（2）多声源叠加贡献值（L</w:t>
            </w:r>
            <w:r>
              <w:rPr>
                <w:rFonts w:hint="default"/>
                <w:color w:val="auto"/>
                <w:highlight w:val="none"/>
                <w:vertAlign w:val="subscript"/>
              </w:rPr>
              <w:t>eqg</w:t>
            </w:r>
            <w:r>
              <w:rPr>
                <w:rFonts w:hint="default"/>
                <w:color w:val="auto"/>
                <w:highlight w:val="none"/>
              </w:rPr>
              <w:t>）计算公式</w:t>
            </w:r>
          </w:p>
          <w:p w14:paraId="3B9DF1FB">
            <w:pPr>
              <w:keepNext w:val="0"/>
              <w:keepLines/>
              <w:widowControl/>
              <w:suppressLineNumbers w:val="0"/>
              <w:spacing w:before="0" w:beforeAutospacing="0" w:after="0" w:afterAutospacing="0"/>
              <w:ind w:left="0" w:right="0" w:firstLine="420" w:firstLineChars="200"/>
              <w:jc w:val="left"/>
              <w:rPr>
                <w:rFonts w:hint="default"/>
                <w:color w:val="auto"/>
                <w:highlight w:val="none"/>
              </w:rPr>
            </w:pPr>
            <w:r>
              <w:rPr>
                <w:rFonts w:hint="default"/>
                <w:color w:val="auto"/>
                <w:highlight w:val="none"/>
              </w:rPr>
              <w:t>建设项目声源在预测点产生的等效声级贡献值（L</w:t>
            </w:r>
            <w:r>
              <w:rPr>
                <w:rFonts w:hint="default"/>
                <w:color w:val="auto"/>
                <w:highlight w:val="none"/>
                <w:vertAlign w:val="subscript"/>
              </w:rPr>
              <w:t>eqg</w:t>
            </w:r>
            <w:r>
              <w:rPr>
                <w:rFonts w:hint="default"/>
                <w:color w:val="auto"/>
                <w:highlight w:val="none"/>
              </w:rPr>
              <w:t>）计算公式：</w:t>
            </w:r>
          </w:p>
          <w:p w14:paraId="064448C6">
            <w:pPr>
              <w:keepNext w:val="0"/>
              <w:keepLines/>
              <w:suppressLineNumbers w:val="0"/>
              <w:spacing w:before="0" w:beforeAutospacing="0" w:after="0" w:afterAutospacing="0" w:line="432" w:lineRule="auto"/>
              <w:ind w:left="0" w:right="0"/>
              <w:jc w:val="center"/>
              <w:rPr>
                <w:rFonts w:hint="default"/>
                <w:color w:val="auto"/>
                <w:highlight w:val="none"/>
              </w:rPr>
            </w:pPr>
            <w:r>
              <w:rPr>
                <w:rFonts w:hint="default"/>
                <w:color w:val="auto"/>
                <w:highlight w:val="none"/>
              </w:rPr>
              <w:object>
                <v:shape id="_x0000_i1043" o:spt="75" type="#_x0000_t75" style="height:33pt;width:132pt;" o:ole="t" filled="f" o:preferrelative="t" stroked="f" coordsize="21600,21600">
                  <v:path/>
                  <v:fill on="f" focussize="0,0"/>
                  <v:stroke on="f"/>
                  <v:imagedata r:id="rId19" o:title=""/>
                  <o:lock v:ext="edit" aspectratio="t"/>
                  <w10:wrap type="none"/>
                  <w10:anchorlock/>
                </v:shape>
                <o:OLEObject Type="Embed" ProgID="Equation.3" ShapeID="_x0000_i1043" DrawAspect="Content" ObjectID="_1468075729" r:id="rId18">
                  <o:LockedField>false</o:LockedField>
                </o:OLEObject>
              </w:object>
            </w:r>
          </w:p>
          <w:p w14:paraId="164D8A0D">
            <w:pPr>
              <w:keepNext w:val="0"/>
              <w:keepLines/>
              <w:widowControl/>
              <w:suppressLineNumbers w:val="0"/>
              <w:spacing w:before="0" w:beforeAutospacing="0" w:after="0" w:afterAutospacing="0"/>
              <w:ind w:left="0" w:right="0" w:firstLine="420" w:firstLineChars="200"/>
              <w:jc w:val="left"/>
              <w:rPr>
                <w:rFonts w:hint="default"/>
                <w:color w:val="auto"/>
                <w:highlight w:val="none"/>
              </w:rPr>
            </w:pPr>
            <w:r>
              <w:rPr>
                <w:rFonts w:hint="default"/>
                <w:color w:val="auto"/>
                <w:highlight w:val="none"/>
              </w:rPr>
              <w:t>式中：L</w:t>
            </w:r>
            <w:r>
              <w:rPr>
                <w:rFonts w:hint="default"/>
                <w:color w:val="auto"/>
                <w:highlight w:val="none"/>
                <w:vertAlign w:val="subscript"/>
              </w:rPr>
              <w:t>eqg</w:t>
            </w:r>
            <w:r>
              <w:rPr>
                <w:rFonts w:hint="default"/>
                <w:color w:val="auto"/>
                <w:highlight w:val="none"/>
              </w:rPr>
              <w:t>—建设项目声源在预测点的等效声级贡献值，dB（A）；</w:t>
            </w:r>
          </w:p>
          <w:p w14:paraId="2DEEB0AF">
            <w:pPr>
              <w:keepNext w:val="0"/>
              <w:keepLines/>
              <w:widowControl/>
              <w:suppressLineNumbers w:val="0"/>
              <w:spacing w:before="0" w:beforeAutospacing="0" w:after="0" w:afterAutospacing="0"/>
              <w:ind w:left="0" w:right="0" w:firstLine="1050" w:firstLineChars="500"/>
              <w:jc w:val="left"/>
              <w:rPr>
                <w:rFonts w:hint="default"/>
                <w:color w:val="auto"/>
                <w:highlight w:val="none"/>
              </w:rPr>
            </w:pPr>
            <w:r>
              <w:rPr>
                <w:rFonts w:hint="default"/>
                <w:color w:val="auto"/>
                <w:highlight w:val="none"/>
              </w:rPr>
              <w:t>L</w:t>
            </w:r>
            <w:r>
              <w:rPr>
                <w:rFonts w:hint="default"/>
                <w:color w:val="auto"/>
                <w:highlight w:val="none"/>
                <w:vertAlign w:val="subscript"/>
              </w:rPr>
              <w:t>Ai</w:t>
            </w:r>
            <w:r>
              <w:rPr>
                <w:rFonts w:hint="default"/>
                <w:color w:val="auto"/>
                <w:highlight w:val="none"/>
              </w:rPr>
              <w:t xml:space="preserve"> —i声源在预测点产生的A声级，dB（A）；</w:t>
            </w:r>
          </w:p>
          <w:p w14:paraId="1D87C479">
            <w:pPr>
              <w:keepNext w:val="0"/>
              <w:keepLines/>
              <w:widowControl/>
              <w:suppressLineNumbers w:val="0"/>
              <w:spacing w:before="0" w:beforeAutospacing="0" w:after="0" w:afterAutospacing="0"/>
              <w:ind w:left="0" w:right="0" w:firstLine="1050" w:firstLineChars="500"/>
              <w:jc w:val="left"/>
              <w:rPr>
                <w:rFonts w:hint="default"/>
                <w:color w:val="auto"/>
                <w:highlight w:val="none"/>
              </w:rPr>
            </w:pPr>
            <w:r>
              <w:rPr>
                <w:rFonts w:hint="default"/>
                <w:color w:val="auto"/>
                <w:highlight w:val="none"/>
              </w:rPr>
              <w:t>T —预测计算的时间段，s；</w:t>
            </w:r>
          </w:p>
          <w:p w14:paraId="300E97E4">
            <w:pPr>
              <w:keepNext w:val="0"/>
              <w:keepLines/>
              <w:widowControl/>
              <w:suppressLineNumbers w:val="0"/>
              <w:spacing w:before="0" w:beforeAutospacing="0" w:after="0" w:afterAutospacing="0"/>
              <w:ind w:left="0" w:right="0" w:firstLine="1050" w:firstLineChars="500"/>
              <w:jc w:val="left"/>
              <w:rPr>
                <w:rFonts w:hint="default"/>
                <w:color w:val="auto"/>
                <w:highlight w:val="none"/>
              </w:rPr>
            </w:pPr>
            <w:r>
              <w:rPr>
                <w:rFonts w:hint="default"/>
                <w:color w:val="auto"/>
                <w:highlight w:val="none"/>
              </w:rPr>
              <w:t>t</w:t>
            </w:r>
            <w:r>
              <w:rPr>
                <w:rFonts w:hint="default"/>
                <w:color w:val="auto"/>
                <w:highlight w:val="none"/>
                <w:vertAlign w:val="subscript"/>
              </w:rPr>
              <w:t>i</w:t>
            </w:r>
            <w:r>
              <w:rPr>
                <w:rFonts w:hint="default"/>
                <w:color w:val="auto"/>
                <w:highlight w:val="none"/>
              </w:rPr>
              <w:t xml:space="preserve"> — i声源在T时段内的运行时间，s。</w:t>
            </w:r>
          </w:p>
          <w:p w14:paraId="2197D763">
            <w:pPr>
              <w:keepNext w:val="0"/>
              <w:keepLines w:val="0"/>
              <w:suppressLineNumbers w:val="0"/>
              <w:spacing w:before="0" w:beforeAutospacing="0" w:after="0" w:afterAutospacing="0"/>
              <w:ind w:left="420" w:leftChars="200" w:right="0"/>
              <w:rPr>
                <w:rFonts w:hint="default"/>
                <w:color w:val="auto"/>
                <w:highlight w:val="none"/>
              </w:rPr>
            </w:pPr>
            <w:r>
              <w:rPr>
                <w:rFonts w:hint="default"/>
                <w:color w:val="auto"/>
                <w:highlight w:val="none"/>
              </w:rPr>
              <w:t>（3）预测点的预测等效声级（L</w:t>
            </w:r>
            <w:r>
              <w:rPr>
                <w:rFonts w:hint="default"/>
                <w:color w:val="auto"/>
                <w:highlight w:val="none"/>
                <w:vertAlign w:val="subscript"/>
              </w:rPr>
              <w:t>eq</w:t>
            </w:r>
            <w:r>
              <w:rPr>
                <w:rFonts w:hint="default"/>
                <w:color w:val="auto"/>
                <w:highlight w:val="none"/>
              </w:rPr>
              <w:t>）计算公式</w:t>
            </w:r>
          </w:p>
          <w:p w14:paraId="59C6F737">
            <w:pPr>
              <w:keepNext w:val="0"/>
              <w:keepLines w:val="0"/>
              <w:suppressLineNumbers w:val="0"/>
              <w:spacing w:before="0" w:beforeAutospacing="0" w:after="0" w:afterAutospacing="0"/>
              <w:ind w:left="420" w:leftChars="200" w:right="0" w:firstLine="420" w:firstLineChars="200"/>
              <w:jc w:val="center"/>
              <w:rPr>
                <w:rFonts w:hint="default"/>
                <w:color w:val="auto"/>
                <w:highlight w:val="none"/>
              </w:rPr>
            </w:pPr>
            <w:r>
              <w:rPr>
                <w:rFonts w:hint="default"/>
                <w:color w:val="auto"/>
                <w:position w:val="-14"/>
                <w:highlight w:val="none"/>
              </w:rPr>
              <w:object>
                <v:shape id="_x0000_i1044" o:spt="75" type="#_x0000_t75" style="height:21pt;width:139pt;" o:ole="t" filled="f" o:preferrelative="t" stroked="f" coordsize="21600,21600">
                  <v:path/>
                  <v:fill on="f" focussize="0,0"/>
                  <v:stroke on="f"/>
                  <v:imagedata r:id="rId21" o:title=""/>
                  <o:lock v:ext="edit" aspectratio="t"/>
                  <w10:wrap type="none"/>
                  <w10:anchorlock/>
                </v:shape>
                <o:OLEObject Type="Embed" ProgID="Equation.3" ShapeID="_x0000_i1044" DrawAspect="Content" ObjectID="_1468075730" r:id="rId20">
                  <o:LockedField>false</o:LockedField>
                </o:OLEObject>
              </w:object>
            </w:r>
          </w:p>
          <w:p w14:paraId="741E7D32">
            <w:pPr>
              <w:keepNext w:val="0"/>
              <w:keepLines w:val="0"/>
              <w:suppressLineNumbers w:val="0"/>
              <w:spacing w:before="0" w:beforeAutospacing="0" w:after="0" w:afterAutospacing="0"/>
              <w:ind w:left="420" w:leftChars="200" w:right="0" w:firstLine="420" w:firstLineChars="200"/>
              <w:rPr>
                <w:rFonts w:hint="default"/>
                <w:color w:val="auto"/>
                <w:highlight w:val="none"/>
              </w:rPr>
            </w:pPr>
            <w:r>
              <w:rPr>
                <w:rFonts w:hint="default"/>
                <w:color w:val="auto"/>
                <w:highlight w:val="none"/>
              </w:rPr>
              <w:t>式中：L</w:t>
            </w:r>
            <w:r>
              <w:rPr>
                <w:rFonts w:hint="default"/>
                <w:color w:val="auto"/>
                <w:highlight w:val="none"/>
                <w:vertAlign w:val="subscript"/>
              </w:rPr>
              <w:t>eqg</w:t>
            </w:r>
            <w:r>
              <w:rPr>
                <w:rFonts w:hint="default"/>
                <w:color w:val="auto"/>
                <w:highlight w:val="none"/>
              </w:rPr>
              <w:t>—建设项目声源在预测点的等效声级贡献值，dB（A）；</w:t>
            </w:r>
          </w:p>
          <w:p w14:paraId="4F4EBEDE">
            <w:pPr>
              <w:keepNext w:val="0"/>
              <w:keepLines w:val="0"/>
              <w:suppressLineNumbers w:val="0"/>
              <w:spacing w:before="0" w:beforeAutospacing="0" w:after="0" w:afterAutospacing="0"/>
              <w:ind w:left="420" w:leftChars="200" w:right="0" w:firstLine="1050" w:firstLineChars="500"/>
              <w:rPr>
                <w:rFonts w:hint="default"/>
                <w:color w:val="auto"/>
                <w:highlight w:val="none"/>
              </w:rPr>
            </w:pPr>
            <w:r>
              <w:rPr>
                <w:rFonts w:hint="default"/>
                <w:color w:val="auto"/>
                <w:highlight w:val="none"/>
              </w:rPr>
              <w:t>L</w:t>
            </w:r>
            <w:r>
              <w:rPr>
                <w:rFonts w:hint="default"/>
                <w:color w:val="auto"/>
                <w:highlight w:val="none"/>
                <w:vertAlign w:val="subscript"/>
              </w:rPr>
              <w:t>eqb</w:t>
            </w:r>
            <w:r>
              <w:rPr>
                <w:rFonts w:hint="default"/>
                <w:color w:val="auto"/>
                <w:highlight w:val="none"/>
              </w:rPr>
              <w:t>—预测点的背景值，dB（A）。</w:t>
            </w:r>
          </w:p>
          <w:p w14:paraId="5FDB0DC8">
            <w:pPr>
              <w:keepNext w:val="0"/>
              <w:keepLines/>
              <w:suppressLineNumbers w:val="0"/>
              <w:spacing w:before="0" w:beforeAutospacing="0" w:after="0" w:afterAutospacing="0"/>
              <w:ind w:left="0" w:right="0" w:firstLine="420" w:firstLineChars="200"/>
              <w:rPr>
                <w:rFonts w:hint="default"/>
                <w:color w:val="auto"/>
                <w:highlight w:val="none"/>
              </w:rPr>
            </w:pPr>
            <w:r>
              <w:rPr>
                <w:rFonts w:hint="default"/>
                <w:color w:val="auto"/>
                <w:highlight w:val="none"/>
              </w:rPr>
              <w:t>（4）预测结果</w:t>
            </w:r>
          </w:p>
          <w:p w14:paraId="27AC0187">
            <w:pPr>
              <w:keepNext w:val="0"/>
              <w:keepLines/>
              <w:widowControl/>
              <w:suppressLineNumbers w:val="0"/>
              <w:tabs>
                <w:tab w:val="left" w:pos="8280"/>
              </w:tabs>
              <w:spacing w:before="0" w:beforeAutospacing="0" w:after="0" w:afterAutospacing="0"/>
              <w:ind w:left="0" w:right="0" w:firstLine="420" w:firstLineChars="200"/>
              <w:rPr>
                <w:rFonts w:hint="default"/>
                <w:b/>
                <w:bCs/>
                <w:color w:val="auto"/>
                <w:highlight w:val="none"/>
              </w:rPr>
            </w:pPr>
            <w:r>
              <w:rPr>
                <w:rFonts w:hint="default"/>
                <w:color w:val="auto"/>
                <w:highlight w:val="none"/>
              </w:rPr>
              <w:t>根据本工程噪声源的分布，对厂界四周噪声影响进行预测计算，项目主要设备噪声源对厂界预测点的噪声预测结果详见下表。</w:t>
            </w:r>
          </w:p>
          <w:p w14:paraId="085F9571">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rPr>
            </w:pPr>
            <w:r>
              <w:rPr>
                <w:rFonts w:hint="default"/>
                <w:b/>
                <w:bCs/>
                <w:color w:val="auto"/>
                <w:sz w:val="21"/>
                <w:szCs w:val="21"/>
                <w:highlight w:val="none"/>
              </w:rPr>
              <w:t>表4-</w:t>
            </w:r>
            <w:r>
              <w:rPr>
                <w:rFonts w:hint="eastAsia"/>
                <w:b/>
                <w:bCs/>
                <w:color w:val="auto"/>
                <w:sz w:val="21"/>
                <w:szCs w:val="21"/>
                <w:highlight w:val="none"/>
                <w:lang w:val="en-US" w:eastAsia="zh-CN"/>
              </w:rPr>
              <w:t>18</w:t>
            </w:r>
            <w:r>
              <w:rPr>
                <w:rFonts w:hint="default"/>
                <w:b/>
                <w:bCs/>
                <w:color w:val="auto"/>
                <w:sz w:val="21"/>
                <w:szCs w:val="21"/>
                <w:highlight w:val="none"/>
              </w:rPr>
              <w:t xml:space="preserve">  项目厂界预测点预测结果一栏表    单位：dB(A)</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1382"/>
              <w:gridCol w:w="2209"/>
              <w:gridCol w:w="2175"/>
              <w:gridCol w:w="2510"/>
            </w:tblGrid>
            <w:tr w14:paraId="04E04DD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382" w:type="dxa"/>
                  <w:noWrap w:val="0"/>
                  <w:vAlign w:val="center"/>
                </w:tcPr>
                <w:p w14:paraId="65818D41">
                  <w:pPr>
                    <w:keepNext w:val="0"/>
                    <w:keepLines/>
                    <w:widowControl/>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厂界位置</w:t>
                  </w:r>
                </w:p>
              </w:tc>
              <w:tc>
                <w:tcPr>
                  <w:tcW w:w="2209" w:type="dxa"/>
                  <w:noWrap w:val="0"/>
                  <w:vAlign w:val="center"/>
                </w:tcPr>
                <w:p w14:paraId="4010E0B1">
                  <w:pPr>
                    <w:keepNext w:val="0"/>
                    <w:keepLines/>
                    <w:widowControl/>
                    <w:suppressLineNumbers w:val="0"/>
                    <w:spacing w:before="0" w:beforeAutospacing="0" w:after="0" w:afterAutospacing="0" w:line="240" w:lineRule="auto"/>
                    <w:ind w:left="0" w:right="0"/>
                    <w:jc w:val="center"/>
                    <w:rPr>
                      <w:rFonts w:hint="eastAsia"/>
                      <w:b/>
                      <w:bCs/>
                      <w:color w:val="auto"/>
                      <w:szCs w:val="21"/>
                      <w:highlight w:val="none"/>
                    </w:rPr>
                  </w:pPr>
                  <w:r>
                    <w:rPr>
                      <w:rFonts w:hint="default"/>
                      <w:b/>
                      <w:bCs/>
                      <w:color w:val="auto"/>
                      <w:szCs w:val="21"/>
                      <w:highlight w:val="none"/>
                    </w:rPr>
                    <w:t>厂界</w:t>
                  </w:r>
                  <w:r>
                    <w:rPr>
                      <w:rFonts w:hint="eastAsia"/>
                      <w:b/>
                      <w:bCs/>
                      <w:color w:val="auto"/>
                      <w:szCs w:val="21"/>
                      <w:highlight w:val="none"/>
                    </w:rPr>
                    <w:t>北</w:t>
                  </w:r>
                  <w:r>
                    <w:rPr>
                      <w:rFonts w:hint="default"/>
                      <w:b/>
                      <w:bCs/>
                      <w:color w:val="auto"/>
                      <w:szCs w:val="21"/>
                      <w:highlight w:val="none"/>
                    </w:rPr>
                    <w:t>侧</w:t>
                  </w:r>
                  <w:r>
                    <w:rPr>
                      <w:rFonts w:hint="eastAsia"/>
                      <w:b/>
                      <w:bCs/>
                      <w:color w:val="auto"/>
                      <w:szCs w:val="21"/>
                      <w:highlight w:val="none"/>
                    </w:rPr>
                    <w:t>（</w:t>
                  </w:r>
                  <w:r>
                    <w:rPr>
                      <w:rFonts w:hint="eastAsia"/>
                      <w:b/>
                      <w:bCs/>
                      <w:color w:val="auto"/>
                      <w:szCs w:val="21"/>
                      <w:highlight w:val="none"/>
                      <w:lang w:val="en-US" w:eastAsia="zh-CN"/>
                    </w:rPr>
                    <w:t>距厂界45</w:t>
                  </w:r>
                  <w:r>
                    <w:rPr>
                      <w:rFonts w:hint="eastAsia"/>
                      <w:b/>
                      <w:bCs/>
                      <w:color w:val="auto"/>
                      <w:szCs w:val="21"/>
                      <w:highlight w:val="none"/>
                    </w:rPr>
                    <w:t>m）</w:t>
                  </w:r>
                </w:p>
              </w:tc>
              <w:tc>
                <w:tcPr>
                  <w:tcW w:w="2175" w:type="dxa"/>
                  <w:noWrap w:val="0"/>
                  <w:vAlign w:val="center"/>
                </w:tcPr>
                <w:p w14:paraId="3A9F1600">
                  <w:pPr>
                    <w:keepNext w:val="0"/>
                    <w:keepLines/>
                    <w:widowControl/>
                    <w:suppressLineNumbers w:val="0"/>
                    <w:spacing w:before="0" w:beforeAutospacing="0" w:after="0" w:afterAutospacing="0" w:line="240" w:lineRule="auto"/>
                    <w:ind w:left="0" w:right="0"/>
                    <w:jc w:val="center"/>
                    <w:rPr>
                      <w:rFonts w:hint="default"/>
                      <w:b/>
                      <w:bCs/>
                      <w:color w:val="auto"/>
                      <w:szCs w:val="21"/>
                      <w:highlight w:val="none"/>
                    </w:rPr>
                  </w:pPr>
                  <w:r>
                    <w:rPr>
                      <w:rFonts w:hint="default"/>
                      <w:b/>
                      <w:bCs/>
                      <w:color w:val="auto"/>
                      <w:szCs w:val="21"/>
                      <w:highlight w:val="none"/>
                    </w:rPr>
                    <w:t>厂界</w:t>
                  </w:r>
                  <w:r>
                    <w:rPr>
                      <w:rFonts w:hint="eastAsia"/>
                      <w:b/>
                      <w:bCs/>
                      <w:color w:val="auto"/>
                      <w:szCs w:val="21"/>
                      <w:highlight w:val="none"/>
                      <w:lang w:val="en-US" w:eastAsia="zh-CN"/>
                    </w:rPr>
                    <w:t>南</w:t>
                  </w:r>
                  <w:r>
                    <w:rPr>
                      <w:rFonts w:hint="default"/>
                      <w:b/>
                      <w:bCs/>
                      <w:color w:val="auto"/>
                      <w:szCs w:val="21"/>
                      <w:highlight w:val="none"/>
                    </w:rPr>
                    <w:t>侧</w:t>
                  </w:r>
                  <w:r>
                    <w:rPr>
                      <w:rFonts w:hint="eastAsia"/>
                      <w:b/>
                      <w:bCs/>
                      <w:color w:val="auto"/>
                      <w:szCs w:val="21"/>
                      <w:highlight w:val="none"/>
                    </w:rPr>
                    <w:t>（</w:t>
                  </w:r>
                  <w:r>
                    <w:rPr>
                      <w:rFonts w:hint="eastAsia"/>
                      <w:b/>
                      <w:bCs/>
                      <w:color w:val="auto"/>
                      <w:szCs w:val="21"/>
                      <w:highlight w:val="none"/>
                      <w:lang w:val="en-US" w:eastAsia="zh-CN"/>
                    </w:rPr>
                    <w:t>距厂界87</w:t>
                  </w:r>
                  <w:r>
                    <w:rPr>
                      <w:rFonts w:hint="eastAsia"/>
                      <w:b/>
                      <w:bCs/>
                      <w:color w:val="auto"/>
                      <w:szCs w:val="21"/>
                      <w:highlight w:val="none"/>
                    </w:rPr>
                    <w:t>m）</w:t>
                  </w:r>
                </w:p>
              </w:tc>
              <w:tc>
                <w:tcPr>
                  <w:tcW w:w="2510" w:type="dxa"/>
                  <w:noWrap w:val="0"/>
                  <w:vAlign w:val="center"/>
                </w:tcPr>
                <w:p w14:paraId="37EBEED2">
                  <w:pPr>
                    <w:keepNext w:val="0"/>
                    <w:keepLines/>
                    <w:widowControl/>
                    <w:suppressLineNumbers w:val="0"/>
                    <w:spacing w:before="0" w:beforeAutospacing="0" w:after="0" w:afterAutospacing="0" w:line="240" w:lineRule="auto"/>
                    <w:ind w:left="0" w:right="0"/>
                    <w:jc w:val="center"/>
                    <w:rPr>
                      <w:rFonts w:hint="default"/>
                      <w:b/>
                      <w:bCs/>
                      <w:color w:val="auto"/>
                      <w:szCs w:val="21"/>
                      <w:highlight w:val="none"/>
                    </w:rPr>
                  </w:pPr>
                  <w:r>
                    <w:rPr>
                      <w:rFonts w:hint="eastAsia"/>
                      <w:b/>
                      <w:bCs/>
                      <w:color w:val="auto"/>
                      <w:szCs w:val="21"/>
                      <w:highlight w:val="none"/>
                    </w:rPr>
                    <w:t>厂界东</w:t>
                  </w:r>
                  <w:r>
                    <w:rPr>
                      <w:rFonts w:hint="eastAsia"/>
                      <w:b/>
                      <w:bCs/>
                      <w:color w:val="auto"/>
                      <w:szCs w:val="21"/>
                      <w:highlight w:val="none"/>
                      <w:lang w:val="en-US" w:eastAsia="zh-CN"/>
                    </w:rPr>
                    <w:t>北</w:t>
                  </w:r>
                  <w:r>
                    <w:rPr>
                      <w:rFonts w:hint="eastAsia"/>
                      <w:b/>
                      <w:bCs/>
                      <w:color w:val="auto"/>
                      <w:szCs w:val="21"/>
                      <w:highlight w:val="none"/>
                    </w:rPr>
                    <w:t>侧敏感点（</w:t>
                  </w:r>
                  <w:r>
                    <w:rPr>
                      <w:rFonts w:hint="eastAsia"/>
                      <w:b/>
                      <w:bCs/>
                      <w:color w:val="auto"/>
                      <w:szCs w:val="21"/>
                      <w:highlight w:val="none"/>
                      <w:lang w:val="en-US" w:eastAsia="zh-CN"/>
                    </w:rPr>
                    <w:t>距厂界35.5</w:t>
                  </w:r>
                  <w:r>
                    <w:rPr>
                      <w:rFonts w:hint="eastAsia"/>
                      <w:b/>
                      <w:bCs/>
                      <w:color w:val="auto"/>
                      <w:szCs w:val="21"/>
                      <w:highlight w:val="none"/>
                    </w:rPr>
                    <w:t>m）</w:t>
                  </w:r>
                </w:p>
              </w:tc>
            </w:tr>
            <w:tr w14:paraId="16FD98D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382" w:type="dxa"/>
                  <w:noWrap w:val="0"/>
                  <w:vAlign w:val="center"/>
                </w:tcPr>
                <w:p w14:paraId="287CAF8D">
                  <w:pPr>
                    <w:keepNext w:val="0"/>
                    <w:keepLines w:val="0"/>
                    <w:widowControl/>
                    <w:suppressLineNumbers w:val="0"/>
                    <w:spacing w:before="0" w:beforeAutospacing="0" w:after="0" w:afterAutospacing="0" w:line="240" w:lineRule="auto"/>
                    <w:ind w:left="0" w:right="0"/>
                    <w:jc w:val="center"/>
                    <w:rPr>
                      <w:rFonts w:hint="eastAsia"/>
                      <w:color w:val="auto"/>
                      <w:szCs w:val="21"/>
                      <w:highlight w:val="none"/>
                    </w:rPr>
                  </w:pPr>
                  <w:r>
                    <w:rPr>
                      <w:rFonts w:hint="eastAsia"/>
                      <w:color w:val="auto"/>
                      <w:szCs w:val="21"/>
                      <w:highlight w:val="none"/>
                    </w:rPr>
                    <w:t>贡献值</w:t>
                  </w:r>
                </w:p>
              </w:tc>
              <w:tc>
                <w:tcPr>
                  <w:tcW w:w="2209" w:type="dxa"/>
                  <w:noWrap w:val="0"/>
                  <w:vAlign w:val="center"/>
                </w:tcPr>
                <w:p w14:paraId="260648A7">
                  <w:pPr>
                    <w:keepNext w:val="0"/>
                    <w:keepLines/>
                    <w:widowControl/>
                    <w:suppressLineNumbers w:val="0"/>
                    <w:spacing w:before="0" w:beforeAutospacing="0" w:after="0" w:afterAutospacing="0" w:line="240" w:lineRule="auto"/>
                    <w:ind w:left="0" w:right="0"/>
                    <w:jc w:val="center"/>
                    <w:rPr>
                      <w:rFonts w:hint="default" w:eastAsia="宋体"/>
                      <w:b w:val="0"/>
                      <w:bCs w:val="0"/>
                      <w:color w:val="auto"/>
                      <w:szCs w:val="21"/>
                      <w:highlight w:val="none"/>
                      <w:lang w:val="en-US" w:eastAsia="zh-CN"/>
                    </w:rPr>
                  </w:pPr>
                  <w:r>
                    <w:rPr>
                      <w:rFonts w:hint="eastAsia"/>
                      <w:b w:val="0"/>
                      <w:bCs w:val="0"/>
                      <w:color w:val="auto"/>
                      <w:szCs w:val="21"/>
                      <w:highlight w:val="none"/>
                      <w:lang w:val="en-US" w:eastAsia="zh-CN"/>
                    </w:rPr>
                    <w:t>44.9</w:t>
                  </w:r>
                </w:p>
              </w:tc>
              <w:tc>
                <w:tcPr>
                  <w:tcW w:w="2175" w:type="dxa"/>
                  <w:noWrap w:val="0"/>
                  <w:vAlign w:val="center"/>
                </w:tcPr>
                <w:p w14:paraId="30F2900B">
                  <w:pPr>
                    <w:keepNext w:val="0"/>
                    <w:keepLines/>
                    <w:widowControl/>
                    <w:suppressLineNumbers w:val="0"/>
                    <w:spacing w:before="0" w:beforeAutospacing="0" w:after="0" w:afterAutospacing="0" w:line="240" w:lineRule="auto"/>
                    <w:ind w:left="0" w:right="0"/>
                    <w:jc w:val="center"/>
                    <w:rPr>
                      <w:rFonts w:hint="default" w:eastAsia="宋体"/>
                      <w:b w:val="0"/>
                      <w:bCs w:val="0"/>
                      <w:color w:val="auto"/>
                      <w:szCs w:val="21"/>
                      <w:highlight w:val="none"/>
                      <w:lang w:val="en-US" w:eastAsia="zh-CN"/>
                    </w:rPr>
                  </w:pPr>
                  <w:r>
                    <w:rPr>
                      <w:rFonts w:hint="eastAsia"/>
                      <w:b w:val="0"/>
                      <w:bCs w:val="0"/>
                      <w:color w:val="auto"/>
                      <w:szCs w:val="21"/>
                      <w:highlight w:val="none"/>
                      <w:lang w:val="en-US" w:eastAsia="zh-CN"/>
                    </w:rPr>
                    <w:t>39.2</w:t>
                  </w:r>
                </w:p>
              </w:tc>
              <w:tc>
                <w:tcPr>
                  <w:tcW w:w="2510" w:type="dxa"/>
                  <w:noWrap w:val="0"/>
                  <w:vAlign w:val="center"/>
                </w:tcPr>
                <w:p w14:paraId="4D647061">
                  <w:pPr>
                    <w:keepNext w:val="0"/>
                    <w:keepLines/>
                    <w:widowControl/>
                    <w:suppressLineNumbers w:val="0"/>
                    <w:spacing w:before="0" w:beforeAutospacing="0" w:after="0" w:afterAutospacing="0" w:line="240" w:lineRule="auto"/>
                    <w:ind w:left="0" w:right="0"/>
                    <w:jc w:val="center"/>
                    <w:rPr>
                      <w:rFonts w:hint="default" w:eastAsia="宋体"/>
                      <w:color w:val="FF0000"/>
                      <w:szCs w:val="21"/>
                      <w:highlight w:val="none"/>
                      <w:lang w:val="en-US" w:eastAsia="zh-CN"/>
                    </w:rPr>
                  </w:pPr>
                  <w:r>
                    <w:rPr>
                      <w:rFonts w:hint="eastAsia"/>
                      <w:color w:val="auto"/>
                      <w:szCs w:val="21"/>
                      <w:highlight w:val="none"/>
                      <w:lang w:val="en-US" w:eastAsia="zh-CN"/>
                    </w:rPr>
                    <w:t>47.0</w:t>
                  </w:r>
                </w:p>
              </w:tc>
            </w:tr>
            <w:tr w14:paraId="18D477BE">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382" w:type="dxa"/>
                  <w:noWrap w:val="0"/>
                  <w:vAlign w:val="center"/>
                </w:tcPr>
                <w:p w14:paraId="03718C95">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r>
                    <w:rPr>
                      <w:rFonts w:hint="eastAsia"/>
                      <w:color w:val="auto"/>
                      <w:szCs w:val="21"/>
                      <w:highlight w:val="none"/>
                    </w:rPr>
                    <w:t>背景值</w:t>
                  </w:r>
                </w:p>
              </w:tc>
              <w:tc>
                <w:tcPr>
                  <w:tcW w:w="2209" w:type="dxa"/>
                  <w:noWrap w:val="0"/>
                  <w:vAlign w:val="center"/>
                </w:tcPr>
                <w:p w14:paraId="59B3FD34">
                  <w:pPr>
                    <w:keepNext w:val="0"/>
                    <w:keepLines/>
                    <w:widowControl/>
                    <w:suppressLineNumbers w:val="0"/>
                    <w:spacing w:before="0" w:beforeAutospacing="0" w:after="0" w:afterAutospacing="0" w:line="240" w:lineRule="auto"/>
                    <w:ind w:left="0" w:right="0"/>
                    <w:jc w:val="center"/>
                    <w:rPr>
                      <w:rFonts w:hint="default"/>
                      <w:b w:val="0"/>
                      <w:bCs w:val="0"/>
                      <w:color w:val="auto"/>
                      <w:szCs w:val="21"/>
                      <w:highlight w:val="none"/>
                    </w:rPr>
                  </w:pPr>
                  <w:r>
                    <w:rPr>
                      <w:rFonts w:hint="eastAsia"/>
                      <w:b w:val="0"/>
                      <w:bCs w:val="0"/>
                      <w:color w:val="auto"/>
                      <w:szCs w:val="21"/>
                      <w:highlight w:val="none"/>
                    </w:rPr>
                    <w:t>/</w:t>
                  </w:r>
                </w:p>
              </w:tc>
              <w:tc>
                <w:tcPr>
                  <w:tcW w:w="2175" w:type="dxa"/>
                  <w:noWrap w:val="0"/>
                  <w:vAlign w:val="center"/>
                </w:tcPr>
                <w:p w14:paraId="5AAF6E7E">
                  <w:pPr>
                    <w:keepNext w:val="0"/>
                    <w:keepLines/>
                    <w:widowControl/>
                    <w:suppressLineNumbers w:val="0"/>
                    <w:spacing w:before="0" w:beforeAutospacing="0" w:after="0" w:afterAutospacing="0" w:line="240" w:lineRule="auto"/>
                    <w:ind w:left="0" w:right="0"/>
                    <w:jc w:val="center"/>
                    <w:rPr>
                      <w:rFonts w:hint="default"/>
                      <w:b w:val="0"/>
                      <w:bCs w:val="0"/>
                      <w:color w:val="auto"/>
                      <w:szCs w:val="21"/>
                      <w:highlight w:val="none"/>
                    </w:rPr>
                  </w:pPr>
                  <w:r>
                    <w:rPr>
                      <w:rFonts w:hint="eastAsia"/>
                      <w:b w:val="0"/>
                      <w:bCs w:val="0"/>
                      <w:color w:val="auto"/>
                      <w:szCs w:val="21"/>
                      <w:highlight w:val="none"/>
                    </w:rPr>
                    <w:t>/</w:t>
                  </w:r>
                </w:p>
              </w:tc>
              <w:tc>
                <w:tcPr>
                  <w:tcW w:w="2510" w:type="dxa"/>
                  <w:noWrap w:val="0"/>
                  <w:vAlign w:val="center"/>
                </w:tcPr>
                <w:p w14:paraId="5B097B49">
                  <w:pPr>
                    <w:keepNext w:val="0"/>
                    <w:keepLines/>
                    <w:widowControl/>
                    <w:suppressLineNumbers w:val="0"/>
                    <w:spacing w:before="0" w:beforeAutospacing="0" w:after="0" w:afterAutospacing="0" w:line="240" w:lineRule="auto"/>
                    <w:ind w:left="0" w:right="0"/>
                    <w:jc w:val="center"/>
                    <w:rPr>
                      <w:rFonts w:hint="default" w:eastAsia="宋体"/>
                      <w:color w:val="000000"/>
                      <w:szCs w:val="21"/>
                      <w:highlight w:val="none"/>
                      <w:lang w:val="en-US" w:eastAsia="zh-CN"/>
                    </w:rPr>
                  </w:pPr>
                  <w:r>
                    <w:rPr>
                      <w:rFonts w:hint="eastAsia"/>
                      <w:color w:val="000000"/>
                      <w:szCs w:val="21"/>
                      <w:highlight w:val="none"/>
                      <w:lang w:val="en-US" w:eastAsia="zh-CN"/>
                    </w:rPr>
                    <w:t>57</w:t>
                  </w:r>
                </w:p>
              </w:tc>
            </w:tr>
            <w:tr w14:paraId="52C2B17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40" w:hRule="atLeast"/>
                <w:jc w:val="center"/>
              </w:trPr>
              <w:tc>
                <w:tcPr>
                  <w:tcW w:w="1382" w:type="dxa"/>
                  <w:noWrap w:val="0"/>
                  <w:vAlign w:val="center"/>
                </w:tcPr>
                <w:p w14:paraId="771D9865">
                  <w:pPr>
                    <w:keepNext w:val="0"/>
                    <w:keepLines w:val="0"/>
                    <w:widowControl/>
                    <w:suppressLineNumbers w:val="0"/>
                    <w:spacing w:before="0" w:beforeAutospacing="0" w:after="0" w:afterAutospacing="0" w:line="240" w:lineRule="auto"/>
                    <w:ind w:left="0" w:right="0"/>
                    <w:jc w:val="center"/>
                    <w:rPr>
                      <w:rFonts w:hint="default"/>
                      <w:color w:val="auto"/>
                      <w:szCs w:val="21"/>
                      <w:highlight w:val="none"/>
                    </w:rPr>
                  </w:pPr>
                  <w:r>
                    <w:rPr>
                      <w:rFonts w:hint="eastAsia"/>
                      <w:color w:val="auto"/>
                      <w:szCs w:val="21"/>
                      <w:highlight w:val="none"/>
                    </w:rPr>
                    <w:t>预测值</w:t>
                  </w:r>
                </w:p>
              </w:tc>
              <w:tc>
                <w:tcPr>
                  <w:tcW w:w="2209" w:type="dxa"/>
                  <w:noWrap w:val="0"/>
                  <w:vAlign w:val="center"/>
                </w:tcPr>
                <w:p w14:paraId="5F676CF6">
                  <w:pPr>
                    <w:keepNext w:val="0"/>
                    <w:keepLines/>
                    <w:widowControl/>
                    <w:suppressLineNumbers w:val="0"/>
                    <w:spacing w:before="0" w:beforeAutospacing="0" w:after="0" w:afterAutospacing="0" w:line="240" w:lineRule="auto"/>
                    <w:ind w:left="0" w:right="0"/>
                    <w:jc w:val="center"/>
                    <w:rPr>
                      <w:rFonts w:hint="default"/>
                      <w:b w:val="0"/>
                      <w:bCs w:val="0"/>
                      <w:color w:val="auto"/>
                      <w:szCs w:val="21"/>
                      <w:highlight w:val="none"/>
                    </w:rPr>
                  </w:pPr>
                  <w:r>
                    <w:rPr>
                      <w:rFonts w:hint="eastAsia"/>
                      <w:b w:val="0"/>
                      <w:bCs w:val="0"/>
                      <w:color w:val="auto"/>
                      <w:szCs w:val="21"/>
                      <w:highlight w:val="none"/>
                    </w:rPr>
                    <w:t>/</w:t>
                  </w:r>
                </w:p>
              </w:tc>
              <w:tc>
                <w:tcPr>
                  <w:tcW w:w="2175" w:type="dxa"/>
                  <w:noWrap w:val="0"/>
                  <w:vAlign w:val="center"/>
                </w:tcPr>
                <w:p w14:paraId="12785AD2">
                  <w:pPr>
                    <w:keepNext w:val="0"/>
                    <w:keepLines/>
                    <w:widowControl/>
                    <w:suppressLineNumbers w:val="0"/>
                    <w:spacing w:before="0" w:beforeAutospacing="0" w:after="0" w:afterAutospacing="0" w:line="240" w:lineRule="auto"/>
                    <w:ind w:left="0" w:right="0"/>
                    <w:jc w:val="center"/>
                    <w:rPr>
                      <w:rFonts w:hint="default"/>
                      <w:b w:val="0"/>
                      <w:bCs w:val="0"/>
                      <w:color w:val="auto"/>
                      <w:szCs w:val="21"/>
                      <w:highlight w:val="none"/>
                    </w:rPr>
                  </w:pPr>
                  <w:r>
                    <w:rPr>
                      <w:rFonts w:hint="eastAsia"/>
                      <w:b w:val="0"/>
                      <w:bCs w:val="0"/>
                      <w:color w:val="auto"/>
                      <w:szCs w:val="21"/>
                      <w:highlight w:val="none"/>
                    </w:rPr>
                    <w:t>/</w:t>
                  </w:r>
                </w:p>
              </w:tc>
              <w:tc>
                <w:tcPr>
                  <w:tcW w:w="2510" w:type="dxa"/>
                  <w:noWrap w:val="0"/>
                  <w:vAlign w:val="center"/>
                </w:tcPr>
                <w:p w14:paraId="561853C8">
                  <w:pPr>
                    <w:keepNext w:val="0"/>
                    <w:keepLines/>
                    <w:widowControl/>
                    <w:suppressLineNumbers w:val="0"/>
                    <w:spacing w:before="0" w:beforeAutospacing="0" w:after="0" w:afterAutospacing="0" w:line="240" w:lineRule="auto"/>
                    <w:ind w:left="0" w:right="0"/>
                    <w:jc w:val="center"/>
                    <w:rPr>
                      <w:rFonts w:hint="default" w:eastAsia="宋体"/>
                      <w:color w:val="000000"/>
                      <w:szCs w:val="21"/>
                      <w:highlight w:val="none"/>
                      <w:lang w:val="en-US" w:eastAsia="zh-CN"/>
                    </w:rPr>
                  </w:pPr>
                  <w:r>
                    <w:rPr>
                      <w:rFonts w:hint="eastAsia"/>
                      <w:color w:val="000000"/>
                      <w:szCs w:val="21"/>
                      <w:highlight w:val="none"/>
                      <w:lang w:val="en-US" w:eastAsia="zh-CN"/>
                    </w:rPr>
                    <w:t>57.4</w:t>
                  </w:r>
                </w:p>
              </w:tc>
            </w:tr>
          </w:tbl>
          <w:p w14:paraId="1A0F27AF">
            <w:pPr>
              <w:keepNext w:val="0"/>
              <w:keepLines w:val="0"/>
              <w:suppressLineNumbers w:val="0"/>
              <w:spacing w:before="120" w:beforeLines="50" w:beforeAutospacing="0" w:after="0" w:afterAutospacing="0"/>
              <w:ind w:left="0" w:right="0" w:firstLine="420" w:firstLineChars="200"/>
              <w:rPr>
                <w:rFonts w:hint="default"/>
                <w:color w:val="auto"/>
                <w:szCs w:val="21"/>
                <w:highlight w:val="none"/>
              </w:rPr>
            </w:pPr>
            <w:r>
              <w:rPr>
                <w:rFonts w:hint="default"/>
                <w:color w:val="auto"/>
                <w:szCs w:val="21"/>
                <w:highlight w:val="none"/>
              </w:rPr>
              <w:t>由以上预测结果可知，厂界噪声</w:t>
            </w:r>
            <w:r>
              <w:rPr>
                <w:rFonts w:hint="eastAsia"/>
                <w:color w:val="auto"/>
                <w:szCs w:val="21"/>
                <w:highlight w:val="none"/>
                <w:lang w:val="en-US" w:eastAsia="zh-CN"/>
              </w:rPr>
              <w:t>均</w:t>
            </w:r>
            <w:r>
              <w:rPr>
                <w:rFonts w:hint="default"/>
                <w:color w:val="auto"/>
                <w:szCs w:val="21"/>
                <w:highlight w:val="none"/>
              </w:rPr>
              <w:t>可达《工业企业厂界环境噪声排放标准》（GB12348-2008）</w:t>
            </w:r>
            <w:r>
              <w:rPr>
                <w:rFonts w:hint="eastAsia"/>
                <w:color w:val="auto"/>
                <w:szCs w:val="21"/>
                <w:highlight w:val="none"/>
              </w:rPr>
              <w:t>3</w:t>
            </w:r>
            <w:r>
              <w:rPr>
                <w:rFonts w:hint="default"/>
                <w:color w:val="auto"/>
                <w:szCs w:val="21"/>
                <w:highlight w:val="none"/>
              </w:rPr>
              <w:t>类标准昼间标准（昼间≤6</w:t>
            </w:r>
            <w:r>
              <w:rPr>
                <w:rFonts w:hint="eastAsia"/>
                <w:color w:val="auto"/>
                <w:szCs w:val="21"/>
                <w:highlight w:val="none"/>
              </w:rPr>
              <w:t>5</w:t>
            </w:r>
            <w:r>
              <w:rPr>
                <w:rFonts w:hint="default"/>
                <w:color w:val="auto"/>
                <w:szCs w:val="21"/>
                <w:highlight w:val="none"/>
              </w:rPr>
              <w:t>dB(A)）</w:t>
            </w:r>
            <w:r>
              <w:rPr>
                <w:rFonts w:hint="eastAsia"/>
                <w:color w:val="auto"/>
                <w:szCs w:val="21"/>
                <w:highlight w:val="none"/>
              </w:rPr>
              <w:t>，敏感点厂界东</w:t>
            </w:r>
            <w:r>
              <w:rPr>
                <w:rFonts w:hint="eastAsia"/>
                <w:color w:val="auto"/>
                <w:szCs w:val="21"/>
                <w:highlight w:val="none"/>
                <w:lang w:val="en-US" w:eastAsia="zh-CN"/>
              </w:rPr>
              <w:t>北</w:t>
            </w:r>
            <w:r>
              <w:rPr>
                <w:rFonts w:hint="eastAsia"/>
                <w:color w:val="auto"/>
                <w:szCs w:val="21"/>
                <w:highlight w:val="none"/>
              </w:rPr>
              <w:t>侧噪声可达《声环境质量标准》（GB3096-2008）2类标准昼间标准</w:t>
            </w:r>
            <w:r>
              <w:rPr>
                <w:rFonts w:hint="default"/>
                <w:color w:val="auto"/>
                <w:szCs w:val="21"/>
                <w:highlight w:val="none"/>
              </w:rPr>
              <w:t>（昼间≤</w:t>
            </w:r>
            <w:r>
              <w:rPr>
                <w:rFonts w:hint="eastAsia"/>
                <w:color w:val="auto"/>
                <w:szCs w:val="21"/>
                <w:highlight w:val="none"/>
              </w:rPr>
              <w:t>60</w:t>
            </w:r>
            <w:r>
              <w:rPr>
                <w:rFonts w:hint="default"/>
                <w:color w:val="auto"/>
                <w:szCs w:val="21"/>
                <w:highlight w:val="none"/>
              </w:rPr>
              <w:t>dB(A)）</w:t>
            </w:r>
            <w:r>
              <w:rPr>
                <w:rFonts w:hint="eastAsia"/>
                <w:color w:val="auto"/>
                <w:szCs w:val="21"/>
                <w:highlight w:val="none"/>
              </w:rPr>
              <w:t>。</w:t>
            </w:r>
            <w:r>
              <w:rPr>
                <w:rFonts w:hint="default"/>
                <w:color w:val="auto"/>
                <w:szCs w:val="21"/>
                <w:highlight w:val="none"/>
              </w:rPr>
              <w:t>项目昼间厂界噪声</w:t>
            </w:r>
            <w:r>
              <w:rPr>
                <w:rFonts w:hint="eastAsia"/>
                <w:color w:val="auto"/>
                <w:szCs w:val="21"/>
                <w:highlight w:val="none"/>
              </w:rPr>
              <w:t>噪声</w:t>
            </w:r>
            <w:r>
              <w:rPr>
                <w:rFonts w:hint="default"/>
                <w:color w:val="auto"/>
                <w:szCs w:val="21"/>
                <w:highlight w:val="none"/>
              </w:rPr>
              <w:t>均可达标排放，对周围环境影响很小。本项目夜间不生产，不会对周围环境产生影响。</w:t>
            </w:r>
          </w:p>
          <w:p w14:paraId="0010D32D">
            <w:pPr>
              <w:pStyle w:val="24"/>
              <w:keepNext w:val="0"/>
              <w:keepLines w:val="0"/>
              <w:suppressLineNumbers w:val="0"/>
              <w:spacing w:before="0" w:beforeAutospacing="0"/>
              <w:ind w:right="0"/>
              <w:jc w:val="both"/>
              <w:rPr>
                <w:rFonts w:hint="default"/>
                <w:color w:val="auto"/>
                <w:highlight w:val="none"/>
              </w:rPr>
            </w:pPr>
            <w:r>
              <w:rPr>
                <w:rFonts w:hint="eastAsia"/>
                <w:b/>
                <w:bCs/>
                <w:color w:val="auto"/>
                <w:sz w:val="21"/>
                <w:szCs w:val="21"/>
                <w:highlight w:val="none"/>
              </w:rPr>
              <w:t>4.3.3声防治措施分析</w:t>
            </w:r>
          </w:p>
          <w:p w14:paraId="75E4DA27">
            <w:pPr>
              <w:keepNext w:val="0"/>
              <w:keepLines w:val="0"/>
              <w:suppressLineNumbers w:val="0"/>
              <w:tabs>
                <w:tab w:val="left" w:pos="7560"/>
              </w:tabs>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经预测，厂界噪声可达标排放，项目噪声处理措施可行。为了更进一步减少噪声对周围环境的影响，建议项目采取以下降噪措施：</w:t>
            </w:r>
          </w:p>
          <w:p w14:paraId="59CB5980">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① 选用低噪声设备。</w:t>
            </w:r>
          </w:p>
          <w:p w14:paraId="346C5D6A">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② 为高噪声设备加装减震垫，风机加装消声器。</w:t>
            </w:r>
          </w:p>
          <w:p w14:paraId="3A0BBC64">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③ 加强设备日常维护，定期检修，使设备处于良好的运转状态，避免因设备运转不正常时噪声的增高。</w:t>
            </w:r>
          </w:p>
          <w:p w14:paraId="13193087">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④ 合理安排生产时间，尽量避免在中午及晚间加班。</w:t>
            </w:r>
          </w:p>
          <w:p w14:paraId="62D01636">
            <w:pPr>
              <w:keepNext w:val="0"/>
              <w:keepLines w:val="0"/>
              <w:suppressLineNumbers w:val="0"/>
              <w:spacing w:before="0" w:beforeAutospacing="0" w:after="0" w:afterAutospacing="0"/>
              <w:ind w:left="0" w:right="0" w:firstLine="420" w:firstLineChars="200"/>
              <w:rPr>
                <w:rFonts w:hint="default"/>
                <w:color w:val="auto"/>
                <w:highlight w:val="none"/>
              </w:rPr>
            </w:pPr>
            <w:r>
              <w:rPr>
                <w:rFonts w:hint="default"/>
                <w:color w:val="auto"/>
                <w:szCs w:val="21"/>
                <w:highlight w:val="none"/>
              </w:rPr>
              <w:t>综上所述，所采取的噪声治理措施可行。</w:t>
            </w:r>
          </w:p>
          <w:p w14:paraId="043D365B">
            <w:pPr>
              <w:keepNext w:val="0"/>
              <w:keepLines w:val="0"/>
              <w:suppressLineNumbers w:val="0"/>
              <w:spacing w:before="120" w:beforeLines="50" w:beforeAutospacing="0" w:after="0" w:afterAutospacing="0"/>
              <w:ind w:left="0" w:right="0"/>
              <w:rPr>
                <w:rFonts w:hint="default"/>
                <w:b/>
                <w:bCs/>
                <w:color w:val="auto"/>
                <w:szCs w:val="21"/>
                <w:highlight w:val="none"/>
              </w:rPr>
            </w:pPr>
            <w:r>
              <w:rPr>
                <w:rFonts w:hint="default"/>
                <w:b/>
                <w:bCs/>
                <w:color w:val="auto"/>
                <w:szCs w:val="21"/>
                <w:highlight w:val="none"/>
              </w:rPr>
              <w:t>4.</w:t>
            </w:r>
            <w:r>
              <w:rPr>
                <w:rFonts w:hint="eastAsia"/>
                <w:b/>
                <w:bCs/>
                <w:color w:val="auto"/>
                <w:szCs w:val="21"/>
                <w:highlight w:val="none"/>
              </w:rPr>
              <w:t>3</w:t>
            </w:r>
            <w:r>
              <w:rPr>
                <w:rFonts w:hint="default"/>
                <w:b/>
                <w:bCs/>
                <w:color w:val="auto"/>
                <w:szCs w:val="21"/>
                <w:highlight w:val="none"/>
              </w:rPr>
              <w:t>.</w:t>
            </w:r>
            <w:r>
              <w:rPr>
                <w:rFonts w:hint="eastAsia"/>
                <w:b/>
                <w:bCs/>
                <w:color w:val="auto"/>
                <w:szCs w:val="21"/>
                <w:highlight w:val="none"/>
              </w:rPr>
              <w:t>4噪声监测计划</w:t>
            </w:r>
          </w:p>
          <w:p w14:paraId="6F022E6D">
            <w:pPr>
              <w:pStyle w:val="11"/>
              <w:keepNext w:val="0"/>
              <w:keepLines w:val="0"/>
              <w:suppressLineNumbers w:val="0"/>
              <w:spacing w:before="0" w:beforeAutospacing="0" w:after="0" w:afterAutospacing="0"/>
              <w:ind w:left="0" w:right="0" w:firstLine="420" w:firstLineChars="200"/>
              <w:rPr>
                <w:rFonts w:hint="eastAsia"/>
                <w:color w:val="auto"/>
                <w:szCs w:val="21"/>
                <w:highlight w:val="none"/>
              </w:rPr>
            </w:pPr>
            <w:r>
              <w:rPr>
                <w:rFonts w:hint="eastAsia"/>
                <w:color w:val="auto"/>
                <w:szCs w:val="21"/>
                <w:highlight w:val="none"/>
              </w:rPr>
              <w:t>本项目根据</w:t>
            </w:r>
            <w:r>
              <w:rPr>
                <w:rFonts w:hint="eastAsia"/>
                <w:sz w:val="21"/>
                <w:szCs w:val="21"/>
              </w:rPr>
              <w:t>《排污单位自行监测技术指南 总则》（HJ 819-2017）、</w:t>
            </w:r>
            <w:r>
              <w:rPr>
                <w:rFonts w:hint="eastAsia"/>
                <w:sz w:val="21"/>
                <w:szCs w:val="21"/>
                <w:lang w:eastAsia="zh-CN"/>
              </w:rPr>
              <w:t>《</w:t>
            </w:r>
            <w:r>
              <w:rPr>
                <w:rFonts w:hint="eastAsia"/>
                <w:sz w:val="21"/>
                <w:szCs w:val="21"/>
              </w:rPr>
              <w:t>排污许可证申请与核发技术规范 工业噪声</w:t>
            </w:r>
            <w:r>
              <w:rPr>
                <w:rFonts w:hint="eastAsia"/>
                <w:sz w:val="21"/>
                <w:szCs w:val="21"/>
                <w:lang w:eastAsia="zh-CN"/>
              </w:rPr>
              <w:t>》</w:t>
            </w:r>
            <w:r>
              <w:rPr>
                <w:rFonts w:hint="eastAsia"/>
                <w:sz w:val="21"/>
                <w:szCs w:val="21"/>
              </w:rPr>
              <w:t>（HJ 1301—2023）</w:t>
            </w:r>
            <w:r>
              <w:rPr>
                <w:rFonts w:hint="eastAsia"/>
                <w:color w:val="auto"/>
                <w:szCs w:val="21"/>
                <w:highlight w:val="none"/>
              </w:rPr>
              <w:t>，</w:t>
            </w:r>
            <w:r>
              <w:rPr>
                <w:rFonts w:hint="eastAsia"/>
                <w:color w:val="auto"/>
                <w:highlight w:val="none"/>
              </w:rPr>
              <w:t>执行本项目自行监测方案</w:t>
            </w:r>
            <w:r>
              <w:rPr>
                <w:rFonts w:hint="eastAsia"/>
                <w:color w:val="auto"/>
                <w:szCs w:val="21"/>
                <w:highlight w:val="none"/>
              </w:rPr>
              <w:t>。本项目噪声监测计划见下</w:t>
            </w:r>
            <w:r>
              <w:rPr>
                <w:rFonts w:hint="eastAsia"/>
                <w:b/>
                <w:bCs/>
                <w:color w:val="auto"/>
                <w:szCs w:val="21"/>
                <w:highlight w:val="none"/>
              </w:rPr>
              <w:t>表4-</w:t>
            </w:r>
            <w:r>
              <w:rPr>
                <w:rFonts w:hint="eastAsia"/>
                <w:b/>
                <w:bCs/>
                <w:color w:val="auto"/>
                <w:szCs w:val="21"/>
                <w:highlight w:val="none"/>
                <w:lang w:val="en-US" w:eastAsia="zh-CN"/>
              </w:rPr>
              <w:t>19</w:t>
            </w:r>
            <w:r>
              <w:rPr>
                <w:rFonts w:hint="eastAsia"/>
                <w:color w:val="auto"/>
                <w:szCs w:val="21"/>
                <w:highlight w:val="none"/>
              </w:rPr>
              <w:t>。</w:t>
            </w:r>
          </w:p>
          <w:p w14:paraId="63407719">
            <w:pPr>
              <w:pStyle w:val="31"/>
              <w:keepNext w:val="0"/>
              <w:keepLines w:val="0"/>
              <w:suppressLineNumbers w:val="0"/>
              <w:spacing w:before="0" w:beforeAutospacing="0" w:after="0" w:afterAutospacing="0" w:line="240" w:lineRule="auto"/>
              <w:ind w:left="0" w:right="0" w:firstLine="0" w:firstLineChars="0"/>
              <w:jc w:val="center"/>
              <w:rPr>
                <w:rFonts w:hint="eastAsia"/>
                <w:b/>
                <w:bCs/>
                <w:color w:val="auto"/>
                <w:sz w:val="21"/>
                <w:szCs w:val="21"/>
                <w:highlight w:val="none"/>
              </w:rPr>
            </w:pPr>
            <w:r>
              <w:rPr>
                <w:rFonts w:hint="default"/>
                <w:b/>
                <w:bCs/>
                <w:color w:val="auto"/>
                <w:sz w:val="21"/>
                <w:szCs w:val="21"/>
                <w:highlight w:val="none"/>
              </w:rPr>
              <w:t>表</w:t>
            </w:r>
            <w:r>
              <w:rPr>
                <w:rFonts w:hint="eastAsia"/>
                <w:b/>
                <w:bCs/>
                <w:color w:val="auto"/>
                <w:sz w:val="21"/>
                <w:szCs w:val="21"/>
                <w:highlight w:val="none"/>
              </w:rPr>
              <w:t>4-</w:t>
            </w:r>
            <w:r>
              <w:rPr>
                <w:rFonts w:hint="eastAsia"/>
                <w:b/>
                <w:bCs/>
                <w:color w:val="auto"/>
                <w:sz w:val="21"/>
                <w:szCs w:val="21"/>
                <w:highlight w:val="none"/>
                <w:lang w:val="en-US" w:eastAsia="zh-CN"/>
              </w:rPr>
              <w:t>19</w:t>
            </w:r>
            <w:r>
              <w:rPr>
                <w:rFonts w:hint="default"/>
                <w:b/>
                <w:bCs/>
                <w:color w:val="auto"/>
                <w:sz w:val="21"/>
                <w:szCs w:val="21"/>
                <w:highlight w:val="none"/>
              </w:rPr>
              <w:t xml:space="preserve"> </w:t>
            </w:r>
            <w:r>
              <w:rPr>
                <w:rFonts w:hint="eastAsia"/>
                <w:b/>
                <w:bCs/>
                <w:color w:val="auto"/>
                <w:sz w:val="21"/>
                <w:szCs w:val="21"/>
                <w:highlight w:val="none"/>
              </w:rPr>
              <w:t xml:space="preserve"> </w:t>
            </w:r>
            <w:r>
              <w:rPr>
                <w:rFonts w:hint="default"/>
                <w:b/>
                <w:bCs/>
                <w:color w:val="auto"/>
                <w:sz w:val="21"/>
                <w:szCs w:val="21"/>
                <w:highlight w:val="none"/>
              </w:rPr>
              <w:t>项目</w:t>
            </w:r>
            <w:r>
              <w:rPr>
                <w:rFonts w:hint="eastAsia"/>
                <w:b/>
                <w:bCs/>
                <w:color w:val="auto"/>
                <w:sz w:val="21"/>
                <w:szCs w:val="21"/>
                <w:highlight w:val="none"/>
              </w:rPr>
              <w:t>噪声监测计划一览表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18"/>
              <w:gridCol w:w="2863"/>
              <w:gridCol w:w="2695"/>
            </w:tblGrid>
            <w:tr w14:paraId="4A2ED8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77" w:type="dxa"/>
                  <w:tcBorders>
                    <w:top w:val="single" w:color="auto" w:sz="12" w:space="0"/>
                    <w:left w:val="nil"/>
                    <w:bottom w:val="single" w:color="auto" w:sz="4" w:space="0"/>
                    <w:right w:val="single" w:color="auto" w:sz="4" w:space="0"/>
                  </w:tcBorders>
                  <w:noWrap w:val="0"/>
                  <w:vAlign w:val="center"/>
                </w:tcPr>
                <w:p w14:paraId="0404803D">
                  <w:pPr>
                    <w:keepNext w:val="0"/>
                    <w:keepLines w:val="0"/>
                    <w:widowControl/>
                    <w:suppressLineNumbers w:val="0"/>
                    <w:spacing w:before="0" w:beforeAutospacing="0" w:after="0" w:afterAutospacing="0" w:line="240" w:lineRule="auto"/>
                    <w:ind w:left="0" w:right="0"/>
                    <w:jc w:val="center"/>
                    <w:textAlignment w:val="center"/>
                    <w:rPr>
                      <w:rFonts w:hint="eastAsia"/>
                      <w:b/>
                      <w:bCs/>
                      <w:color w:val="auto"/>
                      <w:szCs w:val="21"/>
                      <w:highlight w:val="none"/>
                    </w:rPr>
                  </w:pPr>
                  <w:r>
                    <w:rPr>
                      <w:rFonts w:hint="eastAsia"/>
                      <w:b/>
                      <w:bCs/>
                      <w:color w:val="auto"/>
                      <w:szCs w:val="21"/>
                      <w:highlight w:val="none"/>
                    </w:rPr>
                    <w:t>监测位置</w:t>
                  </w:r>
                </w:p>
              </w:tc>
              <w:tc>
                <w:tcPr>
                  <w:tcW w:w="2820" w:type="dxa"/>
                  <w:tcBorders>
                    <w:top w:val="single" w:color="auto" w:sz="12" w:space="0"/>
                    <w:left w:val="single" w:color="auto" w:sz="4" w:space="0"/>
                    <w:bottom w:val="single" w:color="auto" w:sz="4" w:space="0"/>
                    <w:right w:val="single" w:color="auto" w:sz="4" w:space="0"/>
                  </w:tcBorders>
                  <w:noWrap w:val="0"/>
                  <w:vAlign w:val="center"/>
                </w:tcPr>
                <w:p w14:paraId="65DA9F31">
                  <w:pPr>
                    <w:keepNext w:val="0"/>
                    <w:keepLines w:val="0"/>
                    <w:widowControl/>
                    <w:suppressLineNumbers w:val="0"/>
                    <w:spacing w:before="0" w:beforeAutospacing="0" w:after="0" w:afterAutospacing="0" w:line="240" w:lineRule="auto"/>
                    <w:ind w:left="0" w:right="0"/>
                    <w:jc w:val="center"/>
                    <w:textAlignment w:val="center"/>
                    <w:rPr>
                      <w:rFonts w:hint="eastAsia"/>
                      <w:b/>
                      <w:bCs/>
                      <w:color w:val="auto"/>
                      <w:szCs w:val="21"/>
                      <w:highlight w:val="none"/>
                    </w:rPr>
                  </w:pPr>
                  <w:r>
                    <w:rPr>
                      <w:rFonts w:hint="eastAsia"/>
                      <w:b/>
                      <w:bCs/>
                      <w:color w:val="auto"/>
                      <w:szCs w:val="21"/>
                      <w:highlight w:val="none"/>
                    </w:rPr>
                    <w:t>监测项目</w:t>
                  </w:r>
                </w:p>
              </w:tc>
              <w:tc>
                <w:tcPr>
                  <w:tcW w:w="2654" w:type="dxa"/>
                  <w:tcBorders>
                    <w:top w:val="single" w:color="auto" w:sz="12" w:space="0"/>
                    <w:left w:val="single" w:color="auto" w:sz="4" w:space="0"/>
                    <w:bottom w:val="single" w:color="auto" w:sz="4" w:space="0"/>
                    <w:right w:val="nil"/>
                  </w:tcBorders>
                  <w:noWrap w:val="0"/>
                  <w:vAlign w:val="center"/>
                </w:tcPr>
                <w:p w14:paraId="479A73E9">
                  <w:pPr>
                    <w:keepNext w:val="0"/>
                    <w:keepLines w:val="0"/>
                    <w:suppressLineNumbers w:val="0"/>
                    <w:autoSpaceDE w:val="0"/>
                    <w:spacing w:before="0" w:beforeAutospacing="0" w:after="0" w:afterAutospacing="0" w:line="240" w:lineRule="auto"/>
                    <w:ind w:left="0" w:right="0"/>
                    <w:jc w:val="center"/>
                    <w:rPr>
                      <w:rFonts w:hint="eastAsia"/>
                      <w:b/>
                      <w:bCs/>
                      <w:color w:val="auto"/>
                      <w:szCs w:val="21"/>
                      <w:highlight w:val="none"/>
                    </w:rPr>
                  </w:pPr>
                  <w:r>
                    <w:rPr>
                      <w:rFonts w:hint="eastAsia"/>
                      <w:b/>
                      <w:bCs/>
                      <w:color w:val="auto"/>
                      <w:szCs w:val="21"/>
                      <w:highlight w:val="none"/>
                    </w:rPr>
                    <w:t>监测频次</w:t>
                  </w:r>
                </w:p>
              </w:tc>
            </w:tr>
            <w:tr w14:paraId="454FB6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77" w:type="dxa"/>
                  <w:tcBorders>
                    <w:top w:val="single" w:color="auto" w:sz="4" w:space="0"/>
                    <w:left w:val="nil"/>
                    <w:bottom w:val="single" w:color="auto" w:sz="12" w:space="0"/>
                    <w:right w:val="single" w:color="auto" w:sz="4" w:space="0"/>
                  </w:tcBorders>
                  <w:noWrap w:val="0"/>
                  <w:vAlign w:val="center"/>
                </w:tcPr>
                <w:p w14:paraId="56DCE00B">
                  <w:pPr>
                    <w:keepNext w:val="0"/>
                    <w:keepLines w:val="0"/>
                    <w:suppressLineNumbers w:val="0"/>
                    <w:autoSpaceDE w:val="0"/>
                    <w:spacing w:before="0" w:beforeAutospacing="0" w:after="0" w:afterAutospacing="0" w:line="240" w:lineRule="auto"/>
                    <w:ind w:left="0" w:right="0"/>
                    <w:jc w:val="center"/>
                    <w:rPr>
                      <w:rFonts w:hint="eastAsia"/>
                      <w:color w:val="auto"/>
                      <w:szCs w:val="21"/>
                      <w:highlight w:val="none"/>
                    </w:rPr>
                  </w:pPr>
                  <w:r>
                    <w:rPr>
                      <w:rFonts w:hint="eastAsia"/>
                      <w:color w:val="auto"/>
                      <w:szCs w:val="21"/>
                      <w:highlight w:val="none"/>
                    </w:rPr>
                    <w:t>厂界</w:t>
                  </w:r>
                </w:p>
              </w:tc>
              <w:tc>
                <w:tcPr>
                  <w:tcW w:w="2820" w:type="dxa"/>
                  <w:tcBorders>
                    <w:top w:val="single" w:color="auto" w:sz="4" w:space="0"/>
                    <w:left w:val="single" w:color="auto" w:sz="4" w:space="0"/>
                    <w:bottom w:val="single" w:color="auto" w:sz="12" w:space="0"/>
                    <w:right w:val="single" w:color="auto" w:sz="4" w:space="0"/>
                  </w:tcBorders>
                  <w:noWrap w:val="0"/>
                  <w:vAlign w:val="center"/>
                </w:tcPr>
                <w:p w14:paraId="143062F7">
                  <w:pPr>
                    <w:keepNext w:val="0"/>
                    <w:keepLines w:val="0"/>
                    <w:suppressLineNumbers w:val="0"/>
                    <w:autoSpaceDE w:val="0"/>
                    <w:spacing w:before="0" w:beforeAutospacing="0" w:after="0" w:afterAutospacing="0" w:line="240" w:lineRule="auto"/>
                    <w:ind w:left="0" w:right="0"/>
                    <w:jc w:val="center"/>
                    <w:rPr>
                      <w:rFonts w:hint="default"/>
                      <w:color w:val="auto"/>
                      <w:szCs w:val="21"/>
                      <w:highlight w:val="none"/>
                    </w:rPr>
                  </w:pPr>
                  <w:r>
                    <w:rPr>
                      <w:rFonts w:hint="default"/>
                      <w:color w:val="auto"/>
                      <w:szCs w:val="21"/>
                      <w:highlight w:val="none"/>
                    </w:rPr>
                    <w:t>L</w:t>
                  </w:r>
                  <w:r>
                    <w:rPr>
                      <w:rFonts w:hint="default"/>
                      <w:color w:val="auto"/>
                      <w:szCs w:val="21"/>
                      <w:highlight w:val="none"/>
                      <w:vertAlign w:val="subscript"/>
                    </w:rPr>
                    <w:t>eq</w:t>
                  </w:r>
                </w:p>
              </w:tc>
              <w:tc>
                <w:tcPr>
                  <w:tcW w:w="2654" w:type="dxa"/>
                  <w:tcBorders>
                    <w:top w:val="single" w:color="auto" w:sz="4" w:space="0"/>
                    <w:left w:val="single" w:color="auto" w:sz="4" w:space="0"/>
                    <w:bottom w:val="single" w:color="auto" w:sz="12" w:space="0"/>
                    <w:right w:val="nil"/>
                  </w:tcBorders>
                  <w:noWrap w:val="0"/>
                  <w:vAlign w:val="center"/>
                </w:tcPr>
                <w:p w14:paraId="6D043E84">
                  <w:pPr>
                    <w:keepNext w:val="0"/>
                    <w:keepLines w:val="0"/>
                    <w:suppressLineNumbers w:val="0"/>
                    <w:autoSpaceDE w:val="0"/>
                    <w:spacing w:before="0" w:beforeAutospacing="0" w:after="0" w:afterAutospacing="0" w:line="240" w:lineRule="auto"/>
                    <w:ind w:left="0" w:right="0"/>
                    <w:jc w:val="center"/>
                    <w:rPr>
                      <w:rFonts w:hint="default"/>
                      <w:color w:val="auto"/>
                      <w:szCs w:val="21"/>
                      <w:highlight w:val="none"/>
                    </w:rPr>
                  </w:pPr>
                  <w:r>
                    <w:rPr>
                      <w:rFonts w:hint="eastAsia"/>
                      <w:color w:val="auto"/>
                      <w:szCs w:val="21"/>
                      <w:highlight w:val="none"/>
                    </w:rPr>
                    <w:t>1次/季度</w:t>
                  </w:r>
                </w:p>
              </w:tc>
            </w:tr>
          </w:tbl>
          <w:p w14:paraId="4741A924">
            <w:pPr>
              <w:keepNext w:val="0"/>
              <w:keepLines w:val="0"/>
              <w:suppressLineNumbers w:val="0"/>
              <w:spacing w:before="120" w:beforeLines="50" w:beforeAutospacing="0" w:after="0" w:afterAutospacing="0"/>
              <w:ind w:left="0" w:right="0"/>
              <w:rPr>
                <w:rFonts w:hint="default"/>
                <w:b/>
                <w:bCs/>
                <w:color w:val="auto"/>
                <w:sz w:val="24"/>
                <w:highlight w:val="none"/>
              </w:rPr>
            </w:pPr>
            <w:r>
              <w:rPr>
                <w:rFonts w:hint="default"/>
                <w:b/>
                <w:bCs/>
                <w:color w:val="auto"/>
                <w:sz w:val="24"/>
                <w:highlight w:val="none"/>
              </w:rPr>
              <w:t>4.</w:t>
            </w:r>
            <w:r>
              <w:rPr>
                <w:rFonts w:hint="eastAsia"/>
                <w:b/>
                <w:bCs/>
                <w:color w:val="auto"/>
                <w:sz w:val="24"/>
                <w:highlight w:val="none"/>
              </w:rPr>
              <w:t>4运营期固废环境影响分析</w:t>
            </w:r>
          </w:p>
          <w:p w14:paraId="41649890">
            <w:pPr>
              <w:keepNext w:val="0"/>
              <w:keepLines w:val="0"/>
              <w:suppressLineNumbers w:val="0"/>
              <w:spacing w:before="120" w:beforeLines="50" w:beforeAutospacing="0" w:after="0" w:afterAutospacing="0"/>
              <w:ind w:left="0" w:right="0"/>
              <w:rPr>
                <w:rFonts w:hint="default"/>
                <w:b/>
                <w:bCs/>
                <w:color w:val="auto"/>
                <w:szCs w:val="21"/>
                <w:highlight w:val="none"/>
              </w:rPr>
            </w:pPr>
            <w:r>
              <w:rPr>
                <w:rFonts w:hint="default"/>
                <w:b/>
                <w:bCs/>
                <w:color w:val="auto"/>
                <w:szCs w:val="21"/>
                <w:highlight w:val="none"/>
              </w:rPr>
              <w:t>4.</w:t>
            </w:r>
            <w:r>
              <w:rPr>
                <w:rFonts w:hint="eastAsia"/>
                <w:b/>
                <w:bCs/>
                <w:color w:val="auto"/>
                <w:szCs w:val="21"/>
                <w:highlight w:val="none"/>
              </w:rPr>
              <w:t>4.1固废产生及处置情况</w:t>
            </w:r>
          </w:p>
          <w:p w14:paraId="35A20039">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项目固体废物主要为：职工生活垃圾</w:t>
            </w:r>
            <w:r>
              <w:rPr>
                <w:rFonts w:hint="eastAsia"/>
                <w:color w:val="auto"/>
                <w:szCs w:val="21"/>
                <w:highlight w:val="none"/>
              </w:rPr>
              <w:t>、一般工业固废</w:t>
            </w:r>
            <w:r>
              <w:rPr>
                <w:rFonts w:hint="default"/>
                <w:color w:val="auto"/>
                <w:szCs w:val="21"/>
                <w:highlight w:val="none"/>
              </w:rPr>
              <w:t>。</w:t>
            </w:r>
          </w:p>
          <w:p w14:paraId="36A9871A">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（1）职工生活垃圾</w:t>
            </w:r>
          </w:p>
          <w:p w14:paraId="6254BF43">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生活垃圾产生量按G=K·N计算，</w:t>
            </w:r>
          </w:p>
          <w:p w14:paraId="655B05AF">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式中：G-生活垃圾产量（kg/d）；</w:t>
            </w:r>
          </w:p>
          <w:p w14:paraId="2AFF7DC2">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 xml:space="preserve">      K-人均排放系数（kg/人·天）；</w:t>
            </w:r>
          </w:p>
          <w:p w14:paraId="57B375B3">
            <w:pPr>
              <w:keepNext w:val="0"/>
              <w:keepLines w:val="0"/>
              <w:suppressLineNumbers w:val="0"/>
              <w:spacing w:before="0" w:beforeAutospacing="0" w:after="0" w:afterAutospacing="0"/>
              <w:ind w:left="0" w:right="0" w:firstLine="1050" w:firstLineChars="500"/>
              <w:rPr>
                <w:rFonts w:hint="default"/>
                <w:color w:val="auto"/>
                <w:szCs w:val="21"/>
                <w:highlight w:val="none"/>
              </w:rPr>
            </w:pPr>
            <w:r>
              <w:rPr>
                <w:rFonts w:hint="default"/>
                <w:color w:val="auto"/>
                <w:szCs w:val="21"/>
                <w:highlight w:val="none"/>
              </w:rPr>
              <w:t>N-人口数（人）。</w:t>
            </w:r>
          </w:p>
          <w:p w14:paraId="2B914250">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项目共有职工</w:t>
            </w:r>
            <w:r>
              <w:rPr>
                <w:rFonts w:hint="eastAsia"/>
                <w:color w:val="auto"/>
                <w:szCs w:val="21"/>
                <w:highlight w:val="none"/>
                <w:lang w:val="en-US" w:eastAsia="zh-CN"/>
              </w:rPr>
              <w:t>150</w:t>
            </w:r>
            <w:r>
              <w:rPr>
                <w:rFonts w:hint="default"/>
                <w:color w:val="auto"/>
                <w:szCs w:val="21"/>
                <w:highlight w:val="none"/>
              </w:rPr>
              <w:t>人（</w:t>
            </w:r>
            <w:r>
              <w:rPr>
                <w:rFonts w:hint="eastAsia" w:cs="宋体"/>
                <w:b w:val="0"/>
                <w:bCs w:val="0"/>
                <w:color w:val="000000"/>
                <w:sz w:val="21"/>
                <w:szCs w:val="21"/>
                <w:lang w:val="en-US" w:eastAsia="zh-CN"/>
              </w:rPr>
              <w:t>其中120人住宿</w:t>
            </w:r>
            <w:r>
              <w:rPr>
                <w:rFonts w:hint="default"/>
                <w:color w:val="auto"/>
                <w:szCs w:val="21"/>
                <w:highlight w:val="none"/>
              </w:rPr>
              <w:t>）</w:t>
            </w:r>
            <w:r>
              <w:rPr>
                <w:rFonts w:hint="eastAsia"/>
                <w:color w:val="auto"/>
                <w:szCs w:val="21"/>
                <w:highlight w:val="none"/>
              </w:rPr>
              <w:t>，</w:t>
            </w:r>
            <w:r>
              <w:rPr>
                <w:rFonts w:hint="default"/>
                <w:color w:val="auto"/>
                <w:szCs w:val="21"/>
                <w:highlight w:val="none"/>
              </w:rPr>
              <w:t>参照我国生活垃圾排放系数，住厂职工取K=</w:t>
            </w:r>
            <w:r>
              <w:rPr>
                <w:rFonts w:hint="eastAsia"/>
                <w:color w:val="auto"/>
                <w:szCs w:val="21"/>
                <w:highlight w:val="none"/>
              </w:rPr>
              <w:t>1</w:t>
            </w:r>
            <w:r>
              <w:rPr>
                <w:rFonts w:hint="default"/>
                <w:color w:val="auto"/>
                <w:szCs w:val="21"/>
                <w:highlight w:val="none"/>
              </w:rPr>
              <w:t xml:space="preserve"> kg /</w:t>
            </w:r>
            <w:r>
              <w:rPr>
                <w:rFonts w:hint="eastAsia"/>
                <w:color w:val="auto"/>
                <w:szCs w:val="21"/>
                <w:highlight w:val="none"/>
              </w:rPr>
              <w:t>（</w:t>
            </w:r>
            <w:r>
              <w:rPr>
                <w:rFonts w:hint="default"/>
                <w:color w:val="auto"/>
                <w:szCs w:val="21"/>
                <w:highlight w:val="none"/>
              </w:rPr>
              <w:t>人·天</w:t>
            </w:r>
            <w:r>
              <w:rPr>
                <w:rFonts w:hint="eastAsia"/>
                <w:color w:val="auto"/>
                <w:szCs w:val="21"/>
                <w:highlight w:val="none"/>
              </w:rPr>
              <w:t>）</w:t>
            </w:r>
            <w:r>
              <w:rPr>
                <w:rFonts w:hint="default"/>
                <w:color w:val="auto"/>
                <w:szCs w:val="21"/>
                <w:highlight w:val="none"/>
              </w:rPr>
              <w:t>，不住厂职工取K=0.5 kg /</w:t>
            </w:r>
            <w:r>
              <w:rPr>
                <w:rFonts w:hint="eastAsia"/>
                <w:color w:val="auto"/>
                <w:szCs w:val="21"/>
                <w:highlight w:val="none"/>
              </w:rPr>
              <w:t>（</w:t>
            </w:r>
            <w:r>
              <w:rPr>
                <w:rFonts w:hint="default"/>
                <w:color w:val="auto"/>
                <w:szCs w:val="21"/>
                <w:highlight w:val="none"/>
              </w:rPr>
              <w:t>人·天</w:t>
            </w:r>
            <w:r>
              <w:rPr>
                <w:rFonts w:hint="eastAsia"/>
                <w:color w:val="auto"/>
                <w:szCs w:val="21"/>
                <w:highlight w:val="none"/>
              </w:rPr>
              <w:t>）</w:t>
            </w:r>
            <w:r>
              <w:rPr>
                <w:rFonts w:hint="default"/>
                <w:color w:val="auto"/>
                <w:szCs w:val="21"/>
                <w:highlight w:val="none"/>
              </w:rPr>
              <w:t>，</w:t>
            </w:r>
            <w:r>
              <w:rPr>
                <w:rFonts w:hint="eastAsia"/>
                <w:color w:val="auto"/>
                <w:szCs w:val="21"/>
                <w:highlight w:val="none"/>
              </w:rPr>
              <w:t>项</w:t>
            </w:r>
            <w:r>
              <w:rPr>
                <w:rFonts w:hint="default"/>
                <w:color w:val="auto"/>
                <w:szCs w:val="21"/>
                <w:highlight w:val="none"/>
              </w:rPr>
              <w:t>目职工年住厂按</w:t>
            </w:r>
            <w:r>
              <w:rPr>
                <w:rFonts w:hint="eastAsia"/>
                <w:color w:val="auto"/>
                <w:szCs w:val="21"/>
                <w:highlight w:val="none"/>
              </w:rPr>
              <w:t>30</w:t>
            </w:r>
            <w:r>
              <w:rPr>
                <w:rFonts w:hint="default"/>
                <w:color w:val="auto"/>
                <w:szCs w:val="21"/>
                <w:highlight w:val="none"/>
              </w:rPr>
              <w:t>0天计，则项目生活垃圾产生量约</w:t>
            </w:r>
            <w:r>
              <w:rPr>
                <w:rFonts w:hint="eastAsia"/>
                <w:color w:val="auto"/>
                <w:szCs w:val="21"/>
                <w:highlight w:val="none"/>
                <w:lang w:val="en-US" w:eastAsia="zh-CN"/>
              </w:rPr>
              <w:t>40.5</w:t>
            </w:r>
            <w:r>
              <w:rPr>
                <w:rFonts w:hint="default"/>
                <w:color w:val="auto"/>
                <w:szCs w:val="21"/>
                <w:highlight w:val="none"/>
              </w:rPr>
              <w:t>t/a</w:t>
            </w:r>
            <w:r>
              <w:rPr>
                <w:rFonts w:hint="eastAsia"/>
                <w:color w:val="auto"/>
                <w:highlight w:val="none"/>
              </w:rPr>
              <w:t>，。对照《固体废物分类与代码目录》（生态环境部公告2024年第</w:t>
            </w:r>
            <w:r>
              <w:rPr>
                <w:rFonts w:hint="eastAsia"/>
                <w:color w:val="auto"/>
                <w:highlight w:val="none"/>
                <w:lang w:val="en-US" w:eastAsia="zh-CN"/>
              </w:rPr>
              <w:t>4</w:t>
            </w:r>
            <w:r>
              <w:rPr>
                <w:rFonts w:hint="eastAsia"/>
                <w:color w:val="auto"/>
                <w:highlight w:val="none"/>
              </w:rPr>
              <w:t>号）</w:t>
            </w:r>
            <w:r>
              <w:rPr>
                <w:rFonts w:hint="eastAsia"/>
                <w:color w:val="auto"/>
                <w:highlight w:val="none"/>
                <w:lang w:eastAsia="zh-CN"/>
              </w:rPr>
              <w:t>，</w:t>
            </w:r>
            <w:r>
              <w:rPr>
                <w:rFonts w:hint="eastAsia"/>
                <w:color w:val="auto"/>
                <w:highlight w:val="none"/>
              </w:rPr>
              <w:t>属于SW64其他垃圾，分类代码为</w:t>
            </w:r>
            <w:r>
              <w:rPr>
                <w:rFonts w:hint="eastAsia"/>
                <w:color w:val="auto"/>
                <w:szCs w:val="21"/>
                <w:highlight w:val="none"/>
              </w:rPr>
              <w:t>900-099-S64，</w:t>
            </w:r>
            <w:r>
              <w:rPr>
                <w:rFonts w:hint="eastAsia"/>
                <w:color w:val="auto"/>
                <w:highlight w:val="none"/>
              </w:rPr>
              <w:t>由当地环卫部门统一清运</w:t>
            </w:r>
            <w:r>
              <w:rPr>
                <w:rFonts w:hint="default"/>
                <w:color w:val="auto"/>
                <w:szCs w:val="21"/>
                <w:highlight w:val="none"/>
              </w:rPr>
              <w:t>。</w:t>
            </w:r>
          </w:p>
          <w:p w14:paraId="14C909A4">
            <w:pPr>
              <w:keepNext w:val="0"/>
              <w:keepLines w:val="0"/>
              <w:suppressLineNumbers w:val="0"/>
              <w:spacing w:before="0" w:beforeAutospacing="0" w:after="0" w:afterAutospacing="0"/>
              <w:ind w:left="0" w:right="0" w:firstLine="420" w:firstLineChars="200"/>
              <w:rPr>
                <w:rFonts w:hint="eastAsia"/>
                <w:color w:val="auto"/>
                <w:szCs w:val="21"/>
                <w:highlight w:val="none"/>
              </w:rPr>
            </w:pPr>
            <w:r>
              <w:rPr>
                <w:rFonts w:hint="default"/>
                <w:color w:val="auto"/>
                <w:szCs w:val="21"/>
                <w:highlight w:val="none"/>
              </w:rPr>
              <w:t>（</w:t>
            </w:r>
            <w:r>
              <w:rPr>
                <w:rFonts w:hint="eastAsia"/>
                <w:color w:val="auto"/>
                <w:szCs w:val="21"/>
                <w:highlight w:val="none"/>
              </w:rPr>
              <w:t>2</w:t>
            </w:r>
            <w:r>
              <w:rPr>
                <w:rFonts w:hint="default"/>
                <w:color w:val="auto"/>
                <w:szCs w:val="21"/>
                <w:highlight w:val="none"/>
              </w:rPr>
              <w:t>）</w:t>
            </w:r>
            <w:r>
              <w:rPr>
                <w:rFonts w:hint="eastAsia"/>
                <w:color w:val="auto"/>
                <w:szCs w:val="21"/>
                <w:highlight w:val="none"/>
              </w:rPr>
              <w:t>一般工业固废</w:t>
            </w:r>
          </w:p>
          <w:p w14:paraId="63A5FAFA">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lang w:val="en-US" w:eastAsia="zh-CN"/>
              </w:rPr>
              <w:t>①</w:t>
            </w:r>
            <w:r>
              <w:rPr>
                <w:rFonts w:hint="eastAsia"/>
                <w:color w:val="auto"/>
                <w:szCs w:val="21"/>
                <w:highlight w:val="none"/>
              </w:rPr>
              <w:t>收集粉尘</w:t>
            </w:r>
          </w:p>
          <w:p w14:paraId="5400E518">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rPr>
              <w:t>项目</w:t>
            </w:r>
            <w:r>
              <w:rPr>
                <w:rFonts w:hint="eastAsia"/>
                <w:color w:val="auto"/>
                <w:szCs w:val="21"/>
                <w:highlight w:val="none"/>
                <w:lang w:val="en-US" w:eastAsia="zh-CN"/>
              </w:rPr>
              <w:t>木浆粉碎、芯体成型</w:t>
            </w:r>
            <w:r>
              <w:rPr>
                <w:rFonts w:hint="eastAsia"/>
                <w:color w:val="auto"/>
                <w:szCs w:val="21"/>
                <w:highlight w:val="none"/>
              </w:rPr>
              <w:t>过程中产生的颗粒物收集后进入</w:t>
            </w:r>
            <w:bookmarkStart w:id="32" w:name="OLE_LINK30"/>
            <w:r>
              <w:rPr>
                <w:rFonts w:hint="eastAsia"/>
                <w:color w:val="auto"/>
                <w:szCs w:val="21"/>
                <w:highlight w:val="none"/>
                <w:lang w:val="en-US" w:eastAsia="zh-CN"/>
              </w:rPr>
              <w:t>脉冲</w:t>
            </w:r>
            <w:r>
              <w:rPr>
                <w:rFonts w:hint="eastAsia"/>
                <w:color w:val="auto"/>
                <w:szCs w:val="21"/>
                <w:highlight w:val="none"/>
              </w:rPr>
              <w:t>布袋除尘器</w:t>
            </w:r>
            <w:bookmarkEnd w:id="32"/>
            <w:r>
              <w:rPr>
                <w:rFonts w:hint="eastAsia"/>
                <w:color w:val="auto"/>
                <w:szCs w:val="21"/>
                <w:highlight w:val="none"/>
              </w:rPr>
              <w:t>处理。</w:t>
            </w:r>
            <w:r>
              <w:rPr>
                <w:rFonts w:hint="eastAsia"/>
                <w:color w:val="auto"/>
                <w:szCs w:val="21"/>
                <w:highlight w:val="none"/>
                <w:lang w:val="en-US" w:eastAsia="zh-CN"/>
              </w:rPr>
              <w:t>脉冲</w:t>
            </w:r>
            <w:r>
              <w:rPr>
                <w:rFonts w:hint="eastAsia"/>
                <w:color w:val="auto"/>
                <w:szCs w:val="21"/>
                <w:highlight w:val="none"/>
              </w:rPr>
              <w:t>布袋除尘器收集的粉尘量为</w:t>
            </w:r>
            <w:r>
              <w:rPr>
                <w:rFonts w:hint="eastAsia"/>
                <w:color w:val="auto"/>
                <w:szCs w:val="21"/>
                <w:highlight w:val="none"/>
                <w:lang w:val="en-US" w:eastAsia="zh-CN"/>
              </w:rPr>
              <w:t>2.5267</w:t>
            </w:r>
            <w:r>
              <w:rPr>
                <w:rFonts w:hint="eastAsia"/>
                <w:color w:val="auto"/>
                <w:szCs w:val="21"/>
                <w:highlight w:val="none"/>
              </w:rPr>
              <w:t>t/a</w:t>
            </w:r>
            <w:r>
              <w:rPr>
                <w:rFonts w:hint="eastAsia"/>
                <w:color w:val="auto"/>
                <w:szCs w:val="21"/>
                <w:highlight w:val="none"/>
                <w:lang w:eastAsia="zh-CN"/>
              </w:rPr>
              <w:t>。</w:t>
            </w:r>
            <w:r>
              <w:rPr>
                <w:rFonts w:hint="eastAsia"/>
                <w:color w:val="auto"/>
                <w:highlight w:val="none"/>
              </w:rPr>
              <w:t>对照《固体废物分类与代码目录》（生态环境部公告2024年第</w:t>
            </w:r>
            <w:r>
              <w:rPr>
                <w:rFonts w:hint="eastAsia"/>
                <w:color w:val="auto"/>
                <w:highlight w:val="none"/>
                <w:lang w:val="en-US" w:eastAsia="zh-CN"/>
              </w:rPr>
              <w:t>4</w:t>
            </w:r>
            <w:r>
              <w:rPr>
                <w:rFonts w:hint="eastAsia"/>
                <w:color w:val="auto"/>
                <w:highlight w:val="none"/>
              </w:rPr>
              <w:t>号）</w:t>
            </w:r>
            <w:r>
              <w:rPr>
                <w:rFonts w:hint="eastAsia"/>
                <w:color w:val="auto"/>
                <w:highlight w:val="none"/>
                <w:lang w:eastAsia="zh-CN"/>
              </w:rPr>
              <w:t>，</w:t>
            </w:r>
            <w:r>
              <w:rPr>
                <w:rFonts w:hint="eastAsia"/>
                <w:color w:val="auto"/>
                <w:szCs w:val="21"/>
                <w:highlight w:val="none"/>
              </w:rPr>
              <w:t>属于</w:t>
            </w:r>
            <w:r>
              <w:rPr>
                <w:rFonts w:hint="default"/>
                <w:color w:val="auto"/>
                <w:szCs w:val="21"/>
                <w:highlight w:val="none"/>
              </w:rPr>
              <w:t>SW</w:t>
            </w:r>
            <w:r>
              <w:rPr>
                <w:rFonts w:hint="eastAsia"/>
                <w:color w:val="auto"/>
                <w:szCs w:val="21"/>
                <w:highlight w:val="none"/>
                <w:lang w:val="en-US" w:eastAsia="zh-CN"/>
              </w:rPr>
              <w:t>17</w:t>
            </w:r>
            <w:r>
              <w:rPr>
                <w:rFonts w:hint="eastAsia" w:ascii="Times New Roman" w:hAnsi="Times New Roman" w:eastAsia="宋体" w:cs="Times New Roman"/>
                <w:kern w:val="0"/>
                <w:sz w:val="21"/>
                <w:szCs w:val="21"/>
                <w:lang w:val="en-US" w:eastAsia="zh-CN" w:bidi="ar-SA"/>
              </w:rPr>
              <w:t>可再生类废物</w:t>
            </w:r>
            <w:r>
              <w:rPr>
                <w:rFonts w:hint="eastAsia"/>
                <w:color w:val="auto"/>
                <w:szCs w:val="21"/>
                <w:highlight w:val="none"/>
              </w:rPr>
              <w:t>，分类代码为900-0</w:t>
            </w:r>
            <w:r>
              <w:rPr>
                <w:rFonts w:hint="eastAsia"/>
                <w:color w:val="auto"/>
                <w:szCs w:val="21"/>
                <w:highlight w:val="none"/>
                <w:lang w:val="en-US" w:eastAsia="zh-CN"/>
              </w:rPr>
              <w:t>05</w:t>
            </w:r>
            <w:r>
              <w:rPr>
                <w:rFonts w:hint="eastAsia"/>
                <w:color w:val="auto"/>
                <w:szCs w:val="21"/>
                <w:highlight w:val="none"/>
              </w:rPr>
              <w:t>-S</w:t>
            </w:r>
            <w:r>
              <w:rPr>
                <w:rFonts w:hint="eastAsia"/>
                <w:color w:val="auto"/>
                <w:szCs w:val="21"/>
                <w:highlight w:val="none"/>
                <w:lang w:val="en-US" w:eastAsia="zh-CN"/>
              </w:rPr>
              <w:t>17</w:t>
            </w:r>
            <w:r>
              <w:rPr>
                <w:rFonts w:hint="eastAsia"/>
                <w:color w:val="auto"/>
                <w:szCs w:val="21"/>
                <w:highlight w:val="none"/>
              </w:rPr>
              <w:t>，集中收集后</w:t>
            </w:r>
            <w:r>
              <w:rPr>
                <w:rFonts w:hint="default"/>
                <w:color w:val="auto"/>
                <w:szCs w:val="21"/>
                <w:highlight w:val="none"/>
              </w:rPr>
              <w:t>出售给</w:t>
            </w:r>
            <w:r>
              <w:rPr>
                <w:rFonts w:hint="eastAsia"/>
                <w:color w:val="auto"/>
                <w:szCs w:val="21"/>
                <w:highlight w:val="none"/>
              </w:rPr>
              <w:t>相关单位</w:t>
            </w:r>
            <w:r>
              <w:rPr>
                <w:rFonts w:hint="default"/>
                <w:color w:val="auto"/>
                <w:szCs w:val="21"/>
                <w:highlight w:val="none"/>
              </w:rPr>
              <w:t>。</w:t>
            </w:r>
          </w:p>
          <w:p w14:paraId="7649CBEA">
            <w:pPr>
              <w:keepNext w:val="0"/>
              <w:keepLines w:val="0"/>
              <w:suppressLineNumbers w:val="0"/>
              <w:spacing w:before="0" w:beforeAutospacing="0" w:after="0" w:afterAutospacing="0"/>
              <w:ind w:left="420" w:leftChars="200" w:right="0"/>
              <w:rPr>
                <w:rFonts w:hint="default" w:eastAsia="宋体"/>
                <w:color w:val="auto"/>
                <w:szCs w:val="21"/>
                <w:highlight w:val="none"/>
                <w:lang w:val="en-US" w:eastAsia="zh-CN"/>
              </w:rPr>
            </w:pPr>
            <w:r>
              <w:rPr>
                <w:rFonts w:hint="eastAsia"/>
                <w:color w:val="auto"/>
                <w:szCs w:val="21"/>
                <w:highlight w:val="none"/>
                <w:lang w:val="en-US" w:eastAsia="zh-CN"/>
              </w:rPr>
              <w:t>②边角料</w:t>
            </w:r>
          </w:p>
          <w:p w14:paraId="3D350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default" w:eastAsia="宋体"/>
                <w:color w:val="auto"/>
                <w:szCs w:val="21"/>
                <w:highlight w:val="none"/>
                <w:lang w:val="en-US" w:eastAsia="zh-CN"/>
              </w:rPr>
            </w:pPr>
            <w:r>
              <w:rPr>
                <w:rFonts w:hint="eastAsia"/>
                <w:color w:val="auto"/>
                <w:szCs w:val="21"/>
                <w:highlight w:val="none"/>
                <w:lang w:val="en-US" w:eastAsia="zh-CN"/>
              </w:rPr>
              <w:t>根据企业提供资料可知，项目生产过程中产生的边角料为30t/a。</w:t>
            </w:r>
            <w:r>
              <w:rPr>
                <w:rFonts w:hint="eastAsia"/>
                <w:color w:val="auto"/>
                <w:highlight w:val="none"/>
              </w:rPr>
              <w:t>对照《固体废物分类与代码目录》（生态环境部公告2024年第</w:t>
            </w:r>
            <w:r>
              <w:rPr>
                <w:rFonts w:hint="eastAsia"/>
                <w:color w:val="auto"/>
                <w:highlight w:val="none"/>
                <w:lang w:val="en-US" w:eastAsia="zh-CN"/>
              </w:rPr>
              <w:t>4</w:t>
            </w:r>
            <w:r>
              <w:rPr>
                <w:rFonts w:hint="eastAsia"/>
                <w:color w:val="auto"/>
                <w:highlight w:val="none"/>
              </w:rPr>
              <w:t>号）</w:t>
            </w:r>
            <w:r>
              <w:rPr>
                <w:rFonts w:hint="eastAsia"/>
                <w:color w:val="auto"/>
                <w:highlight w:val="none"/>
                <w:lang w:eastAsia="zh-CN"/>
              </w:rPr>
              <w:t>，</w:t>
            </w:r>
            <w:r>
              <w:rPr>
                <w:rFonts w:hint="eastAsia"/>
                <w:color w:val="auto"/>
                <w:szCs w:val="21"/>
                <w:highlight w:val="none"/>
              </w:rPr>
              <w:t>属于</w:t>
            </w:r>
            <w:r>
              <w:rPr>
                <w:rFonts w:hint="default"/>
                <w:color w:val="auto"/>
                <w:szCs w:val="21"/>
                <w:highlight w:val="none"/>
              </w:rPr>
              <w:t>SW</w:t>
            </w:r>
            <w:r>
              <w:rPr>
                <w:rFonts w:hint="eastAsia"/>
                <w:color w:val="auto"/>
                <w:szCs w:val="21"/>
                <w:highlight w:val="none"/>
                <w:lang w:val="en-US" w:eastAsia="zh-CN"/>
              </w:rPr>
              <w:t>17</w:t>
            </w:r>
            <w:r>
              <w:rPr>
                <w:rFonts w:hint="eastAsia" w:ascii="Times New Roman" w:hAnsi="Times New Roman" w:eastAsia="宋体" w:cs="Times New Roman"/>
                <w:kern w:val="0"/>
                <w:sz w:val="21"/>
                <w:szCs w:val="21"/>
                <w:lang w:val="en-US" w:eastAsia="zh-CN" w:bidi="ar-SA"/>
              </w:rPr>
              <w:t>可再生类废物</w:t>
            </w:r>
            <w:r>
              <w:rPr>
                <w:rFonts w:hint="eastAsia"/>
                <w:color w:val="auto"/>
                <w:szCs w:val="21"/>
                <w:highlight w:val="none"/>
              </w:rPr>
              <w:t>，分类代码为900-0</w:t>
            </w:r>
            <w:r>
              <w:rPr>
                <w:rFonts w:hint="eastAsia"/>
                <w:color w:val="auto"/>
                <w:szCs w:val="21"/>
                <w:highlight w:val="none"/>
                <w:lang w:val="en-US" w:eastAsia="zh-CN"/>
              </w:rPr>
              <w:t>05</w:t>
            </w:r>
            <w:r>
              <w:rPr>
                <w:rFonts w:hint="eastAsia"/>
                <w:color w:val="auto"/>
                <w:szCs w:val="21"/>
                <w:highlight w:val="none"/>
              </w:rPr>
              <w:t>-S</w:t>
            </w:r>
            <w:r>
              <w:rPr>
                <w:rFonts w:hint="eastAsia"/>
                <w:color w:val="auto"/>
                <w:szCs w:val="21"/>
                <w:highlight w:val="none"/>
                <w:lang w:val="en-US" w:eastAsia="zh-CN"/>
              </w:rPr>
              <w:t>17</w:t>
            </w:r>
            <w:r>
              <w:rPr>
                <w:rFonts w:hint="eastAsia"/>
                <w:color w:val="auto"/>
                <w:szCs w:val="21"/>
                <w:highlight w:val="none"/>
              </w:rPr>
              <w:t>，集中收集后</w:t>
            </w:r>
            <w:r>
              <w:rPr>
                <w:rFonts w:hint="default"/>
                <w:color w:val="auto"/>
                <w:szCs w:val="21"/>
                <w:highlight w:val="none"/>
              </w:rPr>
              <w:t>出售给</w:t>
            </w:r>
            <w:r>
              <w:rPr>
                <w:rFonts w:hint="eastAsia"/>
                <w:color w:val="auto"/>
                <w:szCs w:val="21"/>
                <w:highlight w:val="none"/>
              </w:rPr>
              <w:t>相关单位</w:t>
            </w:r>
            <w:r>
              <w:rPr>
                <w:rFonts w:hint="default"/>
                <w:color w:val="auto"/>
                <w:szCs w:val="21"/>
                <w:highlight w:val="none"/>
              </w:rPr>
              <w:t>。</w:t>
            </w:r>
          </w:p>
          <w:p w14:paraId="2D04343D">
            <w:pPr>
              <w:keepNext w:val="0"/>
              <w:keepLines w:val="0"/>
              <w:suppressLineNumbers w:val="0"/>
              <w:spacing w:before="0" w:beforeAutospacing="0" w:after="0" w:afterAutospacing="0"/>
              <w:ind w:left="420" w:leftChars="200" w:right="0"/>
              <w:rPr>
                <w:rFonts w:hint="eastAsia"/>
                <w:color w:val="auto"/>
                <w:szCs w:val="21"/>
                <w:highlight w:val="none"/>
                <w:lang w:val="en-US" w:eastAsia="zh-CN"/>
              </w:rPr>
            </w:pPr>
            <w:r>
              <w:rPr>
                <w:rFonts w:hint="eastAsia"/>
                <w:color w:val="auto"/>
                <w:szCs w:val="21"/>
                <w:highlight w:val="none"/>
                <w:lang w:val="en-US" w:eastAsia="zh-CN"/>
              </w:rPr>
              <w:t>③废包装材料</w:t>
            </w:r>
          </w:p>
          <w:p w14:paraId="28B430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default"/>
                <w:color w:val="auto"/>
                <w:szCs w:val="21"/>
                <w:highlight w:val="none"/>
              </w:rPr>
            </w:pPr>
            <w:r>
              <w:rPr>
                <w:rFonts w:hint="eastAsia"/>
                <w:color w:val="auto"/>
                <w:szCs w:val="21"/>
                <w:highlight w:val="none"/>
                <w:lang w:val="en-US" w:eastAsia="zh-CN"/>
              </w:rPr>
              <w:t>根据企业提供资料可知，项目原辅料的使用会产生废包装材料，为2t/a。</w:t>
            </w:r>
            <w:r>
              <w:rPr>
                <w:rFonts w:hint="eastAsia"/>
                <w:color w:val="auto"/>
                <w:highlight w:val="none"/>
              </w:rPr>
              <w:t>对照《固体废物分类与代码目录》（生态环境部公告2024年第</w:t>
            </w:r>
            <w:r>
              <w:rPr>
                <w:rFonts w:hint="eastAsia"/>
                <w:color w:val="auto"/>
                <w:highlight w:val="none"/>
                <w:lang w:val="en-US" w:eastAsia="zh-CN"/>
              </w:rPr>
              <w:t>4</w:t>
            </w:r>
            <w:r>
              <w:rPr>
                <w:rFonts w:hint="eastAsia"/>
                <w:color w:val="auto"/>
                <w:highlight w:val="none"/>
              </w:rPr>
              <w:t>号）</w:t>
            </w:r>
            <w:r>
              <w:rPr>
                <w:rFonts w:hint="eastAsia"/>
                <w:color w:val="auto"/>
                <w:szCs w:val="21"/>
                <w:highlight w:val="none"/>
                <w:lang w:val="en-US" w:eastAsia="zh-CN"/>
              </w:rPr>
              <w:t>，</w:t>
            </w:r>
            <w:r>
              <w:rPr>
                <w:rFonts w:hint="eastAsia"/>
                <w:color w:val="auto"/>
                <w:szCs w:val="21"/>
                <w:highlight w:val="none"/>
              </w:rPr>
              <w:t>属于</w:t>
            </w:r>
            <w:r>
              <w:rPr>
                <w:rFonts w:hint="default"/>
                <w:color w:val="auto"/>
                <w:szCs w:val="21"/>
                <w:highlight w:val="none"/>
              </w:rPr>
              <w:t>SW</w:t>
            </w:r>
            <w:r>
              <w:rPr>
                <w:rFonts w:hint="eastAsia"/>
                <w:color w:val="auto"/>
                <w:szCs w:val="21"/>
                <w:highlight w:val="none"/>
                <w:lang w:val="en-US" w:eastAsia="zh-CN"/>
              </w:rPr>
              <w:t>17</w:t>
            </w:r>
            <w:r>
              <w:rPr>
                <w:rFonts w:hint="eastAsia" w:ascii="Times New Roman" w:hAnsi="Times New Roman" w:eastAsia="宋体" w:cs="Times New Roman"/>
                <w:kern w:val="0"/>
                <w:sz w:val="21"/>
                <w:szCs w:val="21"/>
                <w:lang w:val="en-US" w:eastAsia="zh-CN" w:bidi="ar-SA"/>
              </w:rPr>
              <w:t>可再生类废物</w:t>
            </w:r>
            <w:r>
              <w:rPr>
                <w:rFonts w:hint="eastAsia"/>
                <w:color w:val="auto"/>
                <w:szCs w:val="21"/>
                <w:highlight w:val="none"/>
              </w:rPr>
              <w:t>，分类代码为900-0</w:t>
            </w:r>
            <w:r>
              <w:rPr>
                <w:rFonts w:hint="eastAsia"/>
                <w:color w:val="auto"/>
                <w:szCs w:val="21"/>
                <w:highlight w:val="none"/>
                <w:lang w:val="en-US" w:eastAsia="zh-CN"/>
              </w:rPr>
              <w:t>03</w:t>
            </w:r>
            <w:r>
              <w:rPr>
                <w:rFonts w:hint="eastAsia"/>
                <w:color w:val="auto"/>
                <w:szCs w:val="21"/>
                <w:highlight w:val="none"/>
              </w:rPr>
              <w:t>-S</w:t>
            </w:r>
            <w:r>
              <w:rPr>
                <w:rFonts w:hint="eastAsia"/>
                <w:color w:val="auto"/>
                <w:szCs w:val="21"/>
                <w:highlight w:val="none"/>
                <w:lang w:val="en-US" w:eastAsia="zh-CN"/>
              </w:rPr>
              <w:t>17</w:t>
            </w:r>
            <w:r>
              <w:rPr>
                <w:rFonts w:hint="eastAsia"/>
                <w:color w:val="auto"/>
                <w:szCs w:val="21"/>
                <w:highlight w:val="none"/>
              </w:rPr>
              <w:t>，集中收集后</w:t>
            </w:r>
            <w:r>
              <w:rPr>
                <w:rFonts w:hint="default"/>
                <w:color w:val="auto"/>
                <w:szCs w:val="21"/>
                <w:highlight w:val="none"/>
              </w:rPr>
              <w:t>出售给</w:t>
            </w:r>
            <w:r>
              <w:rPr>
                <w:rFonts w:hint="eastAsia"/>
                <w:color w:val="auto"/>
                <w:szCs w:val="21"/>
                <w:highlight w:val="none"/>
              </w:rPr>
              <w:t>相关单位</w:t>
            </w:r>
            <w:r>
              <w:rPr>
                <w:rFonts w:hint="default"/>
                <w:color w:val="auto"/>
                <w:szCs w:val="21"/>
                <w:highlight w:val="none"/>
              </w:rPr>
              <w:t>。</w:t>
            </w:r>
          </w:p>
          <w:p w14:paraId="626F74D5">
            <w:pPr>
              <w:keepNext w:val="0"/>
              <w:keepLines w:val="0"/>
              <w:suppressLineNumbers w:val="0"/>
              <w:spacing w:before="0" w:beforeAutospacing="0" w:after="0" w:afterAutospacing="0"/>
              <w:ind w:left="0" w:right="0" w:firstLine="420" w:firstLineChars="200"/>
              <w:rPr>
                <w:rFonts w:hint="default"/>
                <w:b/>
                <w:bCs/>
                <w:color w:val="auto"/>
                <w:szCs w:val="21"/>
                <w:highlight w:val="none"/>
                <w:lang w:val="zh-CN"/>
              </w:rPr>
            </w:pPr>
            <w:r>
              <w:rPr>
                <w:rFonts w:hint="default"/>
                <w:color w:val="auto"/>
                <w:szCs w:val="21"/>
                <w:highlight w:val="none"/>
              </w:rPr>
              <w:t>因此，项目固体废物产生情况见下表。</w:t>
            </w:r>
          </w:p>
          <w:p w14:paraId="1A80EE34">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lang w:val="zh-CN"/>
              </w:rPr>
            </w:pPr>
            <w:r>
              <w:rPr>
                <w:rFonts w:hint="default"/>
                <w:b/>
                <w:bCs/>
                <w:color w:val="auto"/>
                <w:sz w:val="21"/>
                <w:szCs w:val="21"/>
                <w:highlight w:val="none"/>
                <w:lang w:val="zh-CN"/>
              </w:rPr>
              <w:t>表</w:t>
            </w:r>
            <w:r>
              <w:rPr>
                <w:rFonts w:hint="default"/>
                <w:b/>
                <w:bCs/>
                <w:color w:val="auto"/>
                <w:sz w:val="21"/>
                <w:szCs w:val="21"/>
                <w:highlight w:val="none"/>
              </w:rPr>
              <w:t>4-</w:t>
            </w:r>
            <w:r>
              <w:rPr>
                <w:rFonts w:hint="eastAsia"/>
                <w:b/>
                <w:bCs/>
                <w:color w:val="auto"/>
                <w:sz w:val="21"/>
                <w:szCs w:val="21"/>
                <w:highlight w:val="none"/>
                <w:lang w:val="en-US" w:eastAsia="zh-CN"/>
              </w:rPr>
              <w:t>20</w:t>
            </w:r>
            <w:r>
              <w:rPr>
                <w:rFonts w:hint="default"/>
                <w:b/>
                <w:bCs/>
                <w:color w:val="auto"/>
                <w:sz w:val="21"/>
                <w:szCs w:val="21"/>
                <w:highlight w:val="none"/>
              </w:rPr>
              <w:t xml:space="preserve">  </w:t>
            </w:r>
            <w:r>
              <w:rPr>
                <w:rFonts w:hint="default"/>
                <w:b/>
                <w:bCs/>
                <w:color w:val="auto"/>
                <w:sz w:val="21"/>
                <w:szCs w:val="21"/>
                <w:highlight w:val="none"/>
                <w:lang w:val="zh-CN"/>
              </w:rPr>
              <w:t>项目固体废物产生情况一览表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
            <w:tblGrid>
              <w:gridCol w:w="1131"/>
              <w:gridCol w:w="868"/>
              <w:gridCol w:w="2199"/>
              <w:gridCol w:w="1296"/>
              <w:gridCol w:w="1446"/>
              <w:gridCol w:w="1336"/>
            </w:tblGrid>
            <w:tr w14:paraId="41EC73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tblHeader/>
                <w:jc w:val="center"/>
              </w:trPr>
              <w:tc>
                <w:tcPr>
                  <w:tcW w:w="1131" w:type="dxa"/>
                  <w:noWrap w:val="0"/>
                  <w:vAlign w:val="center"/>
                </w:tcPr>
                <w:p w14:paraId="70610C24">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固废废物类别</w:t>
                  </w:r>
                </w:p>
              </w:tc>
              <w:tc>
                <w:tcPr>
                  <w:tcW w:w="868" w:type="dxa"/>
                  <w:noWrap w:val="0"/>
                  <w:vAlign w:val="center"/>
                </w:tcPr>
                <w:p w14:paraId="2758FF65">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产生量（t/a）</w:t>
                  </w:r>
                </w:p>
              </w:tc>
              <w:tc>
                <w:tcPr>
                  <w:tcW w:w="2199" w:type="dxa"/>
                  <w:noWrap w:val="0"/>
                  <w:vAlign w:val="center"/>
                </w:tcPr>
                <w:p w14:paraId="622BACFA">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属性</w:t>
                  </w:r>
                </w:p>
              </w:tc>
              <w:tc>
                <w:tcPr>
                  <w:tcW w:w="1296" w:type="dxa"/>
                  <w:noWrap w:val="0"/>
                  <w:vAlign w:val="center"/>
                </w:tcPr>
                <w:p w14:paraId="09327866">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贮存方式</w:t>
                  </w:r>
                </w:p>
              </w:tc>
              <w:tc>
                <w:tcPr>
                  <w:tcW w:w="1446" w:type="dxa"/>
                  <w:noWrap w:val="0"/>
                  <w:vAlign w:val="center"/>
                </w:tcPr>
                <w:p w14:paraId="4C6AB311">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排放去向</w:t>
                  </w:r>
                </w:p>
              </w:tc>
              <w:tc>
                <w:tcPr>
                  <w:tcW w:w="1336" w:type="dxa"/>
                  <w:noWrap w:val="0"/>
                  <w:vAlign w:val="center"/>
                </w:tcPr>
                <w:p w14:paraId="5C162B9B">
                  <w:pPr>
                    <w:keepNext w:val="0"/>
                    <w:keepLines w:val="0"/>
                    <w:suppressLineNumbers w:val="0"/>
                    <w:spacing w:before="0" w:beforeAutospacing="0" w:after="0" w:afterAutospacing="0" w:line="240" w:lineRule="auto"/>
                    <w:ind w:left="-63" w:leftChars="-30" w:right="-63" w:rightChars="-30"/>
                    <w:jc w:val="center"/>
                    <w:rPr>
                      <w:rFonts w:hint="default"/>
                      <w:b/>
                      <w:bCs/>
                      <w:color w:val="auto"/>
                      <w:szCs w:val="21"/>
                      <w:highlight w:val="none"/>
                    </w:rPr>
                  </w:pPr>
                  <w:r>
                    <w:rPr>
                      <w:rFonts w:hint="default"/>
                      <w:b/>
                      <w:bCs/>
                      <w:color w:val="auto"/>
                      <w:szCs w:val="21"/>
                      <w:highlight w:val="none"/>
                    </w:rPr>
                    <w:t>利用或者处置量（t/a）</w:t>
                  </w:r>
                </w:p>
              </w:tc>
            </w:tr>
            <w:tr w14:paraId="67D94C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1131" w:type="dxa"/>
                  <w:noWrap w:val="0"/>
                  <w:vAlign w:val="center"/>
                </w:tcPr>
                <w:p w14:paraId="3BA5252B">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default"/>
                      <w:color w:val="auto"/>
                      <w:szCs w:val="21"/>
                      <w:highlight w:val="none"/>
                    </w:rPr>
                    <w:t>生活垃圾</w:t>
                  </w:r>
                </w:p>
              </w:tc>
              <w:tc>
                <w:tcPr>
                  <w:tcW w:w="868" w:type="dxa"/>
                  <w:noWrap w:val="0"/>
                  <w:vAlign w:val="center"/>
                </w:tcPr>
                <w:p w14:paraId="5D5C83E3">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40.5</w:t>
                  </w:r>
                </w:p>
              </w:tc>
              <w:tc>
                <w:tcPr>
                  <w:tcW w:w="2199" w:type="dxa"/>
                  <w:noWrap w:val="0"/>
                  <w:vAlign w:val="center"/>
                </w:tcPr>
                <w:p w14:paraId="38528E5A">
                  <w:pPr>
                    <w:pStyle w:val="24"/>
                    <w:keepNext w:val="0"/>
                    <w:keepLines w:val="0"/>
                    <w:suppressLineNumbers w:val="0"/>
                    <w:spacing w:before="0" w:beforeAutospacing="0" w:after="0" w:line="240" w:lineRule="auto"/>
                    <w:ind w:right="0"/>
                    <w:rPr>
                      <w:rFonts w:hint="default"/>
                      <w:color w:val="auto"/>
                      <w:sz w:val="21"/>
                      <w:szCs w:val="21"/>
                      <w:highlight w:val="none"/>
                    </w:rPr>
                  </w:pPr>
                  <w:r>
                    <w:rPr>
                      <w:rFonts w:hint="default"/>
                      <w:color w:val="auto"/>
                      <w:sz w:val="21"/>
                      <w:szCs w:val="21"/>
                      <w:highlight w:val="none"/>
                    </w:rPr>
                    <w:t>SW64其他垃圾</w:t>
                  </w:r>
                </w:p>
                <w:p w14:paraId="274C9217">
                  <w:pPr>
                    <w:pStyle w:val="24"/>
                    <w:keepNext w:val="0"/>
                    <w:keepLines w:val="0"/>
                    <w:suppressLineNumbers w:val="0"/>
                    <w:spacing w:before="0" w:beforeAutospacing="0" w:after="0" w:line="240" w:lineRule="auto"/>
                    <w:ind w:right="0"/>
                    <w:rPr>
                      <w:rFonts w:hint="default"/>
                      <w:color w:val="auto"/>
                      <w:sz w:val="21"/>
                      <w:szCs w:val="21"/>
                      <w:highlight w:val="none"/>
                    </w:rPr>
                  </w:pPr>
                  <w:r>
                    <w:rPr>
                      <w:rFonts w:hint="eastAsia"/>
                      <w:color w:val="auto"/>
                      <w:sz w:val="21"/>
                      <w:szCs w:val="21"/>
                      <w:highlight w:val="none"/>
                    </w:rPr>
                    <w:t>900-099-S64</w:t>
                  </w:r>
                </w:p>
              </w:tc>
              <w:tc>
                <w:tcPr>
                  <w:tcW w:w="1296" w:type="dxa"/>
                  <w:noWrap w:val="0"/>
                  <w:vAlign w:val="center"/>
                </w:tcPr>
                <w:p w14:paraId="4E86BA81">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default"/>
                      <w:color w:val="auto"/>
                      <w:szCs w:val="21"/>
                      <w:highlight w:val="none"/>
                    </w:rPr>
                    <w:t>垃圾桶贮存</w:t>
                  </w:r>
                </w:p>
              </w:tc>
              <w:tc>
                <w:tcPr>
                  <w:tcW w:w="1446" w:type="dxa"/>
                  <w:noWrap w:val="0"/>
                  <w:vAlign w:val="center"/>
                </w:tcPr>
                <w:p w14:paraId="4FF71BF3">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default"/>
                      <w:color w:val="auto"/>
                      <w:szCs w:val="21"/>
                      <w:highlight w:val="none"/>
                    </w:rPr>
                    <w:t>当地环卫部门统一清运</w:t>
                  </w:r>
                </w:p>
              </w:tc>
              <w:tc>
                <w:tcPr>
                  <w:tcW w:w="1336" w:type="dxa"/>
                  <w:noWrap w:val="0"/>
                  <w:vAlign w:val="center"/>
                </w:tcPr>
                <w:p w14:paraId="7B87DBC4">
                  <w:pPr>
                    <w:keepNext w:val="0"/>
                    <w:keepLines w:val="0"/>
                    <w:suppressLineNumbers w:val="0"/>
                    <w:spacing w:before="0" w:beforeAutospacing="0" w:after="0" w:afterAutospacing="0" w:line="240"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40.5</w:t>
                  </w:r>
                </w:p>
              </w:tc>
            </w:tr>
            <w:tr w14:paraId="0A9F40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1131" w:type="dxa"/>
                  <w:noWrap w:val="0"/>
                  <w:vAlign w:val="center"/>
                </w:tcPr>
                <w:p w14:paraId="3C68CA04">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eastAsia"/>
                      <w:color w:val="auto"/>
                      <w:szCs w:val="21"/>
                      <w:highlight w:val="none"/>
                    </w:rPr>
                    <w:t>收集粉尘</w:t>
                  </w:r>
                </w:p>
              </w:tc>
              <w:tc>
                <w:tcPr>
                  <w:tcW w:w="868" w:type="dxa"/>
                  <w:noWrap w:val="0"/>
                  <w:vAlign w:val="center"/>
                </w:tcPr>
                <w:p w14:paraId="58AF28B0">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2.5267</w:t>
                  </w:r>
                </w:p>
              </w:tc>
              <w:tc>
                <w:tcPr>
                  <w:tcW w:w="2199" w:type="dxa"/>
                  <w:noWrap w:val="0"/>
                  <w:vAlign w:val="center"/>
                </w:tcPr>
                <w:p w14:paraId="62D62CF6">
                  <w:pPr>
                    <w:pStyle w:val="24"/>
                    <w:keepNext w:val="0"/>
                    <w:keepLines w:val="0"/>
                    <w:suppressLineNumbers w:val="0"/>
                    <w:snapToGrid/>
                    <w:spacing w:before="0" w:beforeAutospacing="0" w:after="0" w:line="240" w:lineRule="auto"/>
                    <w:ind w:right="0"/>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SW17可再生类废物</w:t>
                  </w:r>
                </w:p>
                <w:p w14:paraId="71BB8A4B">
                  <w:pPr>
                    <w:pStyle w:val="24"/>
                    <w:keepNext w:val="0"/>
                    <w:keepLines w:val="0"/>
                    <w:suppressLineNumbers w:val="0"/>
                    <w:snapToGrid/>
                    <w:spacing w:before="0" w:beforeAutospacing="0" w:after="0" w:line="240" w:lineRule="auto"/>
                    <w:ind w:right="0"/>
                    <w:rPr>
                      <w:rFonts w:hint="default"/>
                      <w:color w:val="auto"/>
                      <w:sz w:val="21"/>
                      <w:szCs w:val="21"/>
                      <w:highlight w:val="none"/>
                    </w:rPr>
                  </w:pPr>
                  <w:r>
                    <w:rPr>
                      <w:rFonts w:hint="default" w:ascii="Times New Roman" w:hAnsi="Times New Roman" w:eastAsia="宋体" w:cs="Times New Roman"/>
                      <w:kern w:val="0"/>
                      <w:sz w:val="21"/>
                      <w:szCs w:val="21"/>
                      <w:lang w:val="en-US" w:eastAsia="zh-CN" w:bidi="ar-SA"/>
                    </w:rPr>
                    <w:t>900-00</w:t>
                  </w:r>
                  <w:r>
                    <w:rPr>
                      <w:rFonts w:hint="eastAsia" w:ascii="Times New Roman" w:hAnsi="Times New Roman" w:eastAsia="宋体" w:cs="Times New Roman"/>
                      <w:kern w:val="0"/>
                      <w:sz w:val="21"/>
                      <w:szCs w:val="21"/>
                      <w:lang w:val="en-US" w:eastAsia="zh-CN" w:bidi="ar-SA"/>
                    </w:rPr>
                    <w:t>5</w:t>
                  </w:r>
                  <w:r>
                    <w:rPr>
                      <w:rFonts w:hint="default" w:ascii="Times New Roman" w:hAnsi="Times New Roman" w:eastAsia="宋体" w:cs="Times New Roman"/>
                      <w:kern w:val="0"/>
                      <w:sz w:val="21"/>
                      <w:szCs w:val="21"/>
                      <w:lang w:val="en-US" w:eastAsia="zh-CN" w:bidi="ar-SA"/>
                    </w:rPr>
                    <w:t>-S17</w:t>
                  </w:r>
                </w:p>
              </w:tc>
              <w:tc>
                <w:tcPr>
                  <w:tcW w:w="1296" w:type="dxa"/>
                  <w:vMerge w:val="restart"/>
                  <w:noWrap w:val="0"/>
                  <w:vAlign w:val="center"/>
                </w:tcPr>
                <w:p w14:paraId="43DABD1E">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default"/>
                      <w:color w:val="auto"/>
                      <w:szCs w:val="21"/>
                      <w:highlight w:val="none"/>
                    </w:rPr>
                    <w:t>一般固废区贮存</w:t>
                  </w:r>
                </w:p>
              </w:tc>
              <w:tc>
                <w:tcPr>
                  <w:tcW w:w="1446" w:type="dxa"/>
                  <w:vMerge w:val="restart"/>
                  <w:noWrap w:val="0"/>
                  <w:vAlign w:val="center"/>
                </w:tcPr>
                <w:p w14:paraId="5B40E493">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r>
                    <w:rPr>
                      <w:rFonts w:hint="default"/>
                      <w:color w:val="auto"/>
                      <w:szCs w:val="21"/>
                      <w:highlight w:val="none"/>
                    </w:rPr>
                    <w:t>出售给有关物资回收部门</w:t>
                  </w:r>
                </w:p>
              </w:tc>
              <w:tc>
                <w:tcPr>
                  <w:tcW w:w="1336" w:type="dxa"/>
                  <w:noWrap w:val="0"/>
                  <w:vAlign w:val="center"/>
                </w:tcPr>
                <w:p w14:paraId="3C7FF031">
                  <w:pPr>
                    <w:keepNext w:val="0"/>
                    <w:keepLines w:val="0"/>
                    <w:suppressLineNumbers w:val="0"/>
                    <w:spacing w:before="0" w:beforeAutospacing="0" w:after="0" w:afterAutospacing="0" w:line="240" w:lineRule="auto"/>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2.5267</w:t>
                  </w:r>
                </w:p>
              </w:tc>
            </w:tr>
            <w:tr w14:paraId="24739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1131" w:type="dxa"/>
                  <w:noWrap w:val="0"/>
                  <w:vAlign w:val="center"/>
                </w:tcPr>
                <w:p w14:paraId="22B97DAC">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边角料</w:t>
                  </w:r>
                </w:p>
              </w:tc>
              <w:tc>
                <w:tcPr>
                  <w:tcW w:w="868" w:type="dxa"/>
                  <w:noWrap w:val="0"/>
                  <w:vAlign w:val="center"/>
                </w:tcPr>
                <w:p w14:paraId="56F09821">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30</w:t>
                  </w:r>
                </w:p>
              </w:tc>
              <w:tc>
                <w:tcPr>
                  <w:tcW w:w="2199" w:type="dxa"/>
                  <w:noWrap w:val="0"/>
                  <w:vAlign w:val="center"/>
                </w:tcPr>
                <w:p w14:paraId="5E30CB5C">
                  <w:pPr>
                    <w:pStyle w:val="24"/>
                    <w:keepNext w:val="0"/>
                    <w:keepLines w:val="0"/>
                    <w:suppressLineNumbers w:val="0"/>
                    <w:snapToGrid/>
                    <w:spacing w:before="0" w:beforeAutospacing="0" w:after="0" w:line="240" w:lineRule="auto"/>
                    <w:ind w:right="0"/>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SW17可再生类废物</w:t>
                  </w:r>
                </w:p>
                <w:p w14:paraId="0CEA9A36">
                  <w:pPr>
                    <w:pStyle w:val="24"/>
                    <w:keepNext w:val="0"/>
                    <w:keepLines w:val="0"/>
                    <w:suppressLineNumbers w:val="0"/>
                    <w:snapToGrid/>
                    <w:spacing w:before="0" w:beforeAutospacing="0" w:after="0" w:line="240" w:lineRule="auto"/>
                    <w:ind w:right="0"/>
                    <w:rPr>
                      <w:rFonts w:hint="default"/>
                      <w:color w:val="auto"/>
                      <w:sz w:val="21"/>
                      <w:szCs w:val="21"/>
                      <w:highlight w:val="none"/>
                    </w:rPr>
                  </w:pPr>
                  <w:r>
                    <w:rPr>
                      <w:rFonts w:hint="default" w:ascii="Times New Roman" w:hAnsi="Times New Roman" w:eastAsia="宋体" w:cs="Times New Roman"/>
                      <w:kern w:val="0"/>
                      <w:sz w:val="21"/>
                      <w:szCs w:val="21"/>
                      <w:lang w:val="en-US" w:eastAsia="zh-CN" w:bidi="ar-SA"/>
                    </w:rPr>
                    <w:t>900-00</w:t>
                  </w:r>
                  <w:r>
                    <w:rPr>
                      <w:rFonts w:hint="eastAsia" w:ascii="Times New Roman" w:hAnsi="Times New Roman" w:eastAsia="宋体" w:cs="Times New Roman"/>
                      <w:kern w:val="0"/>
                      <w:sz w:val="21"/>
                      <w:szCs w:val="21"/>
                      <w:lang w:val="en-US" w:eastAsia="zh-CN" w:bidi="ar-SA"/>
                    </w:rPr>
                    <w:t>5</w:t>
                  </w:r>
                  <w:r>
                    <w:rPr>
                      <w:rFonts w:hint="default" w:ascii="Times New Roman" w:hAnsi="Times New Roman" w:eastAsia="宋体" w:cs="Times New Roman"/>
                      <w:kern w:val="0"/>
                      <w:sz w:val="21"/>
                      <w:szCs w:val="21"/>
                      <w:lang w:val="en-US" w:eastAsia="zh-CN" w:bidi="ar-SA"/>
                    </w:rPr>
                    <w:t>-S17</w:t>
                  </w:r>
                </w:p>
              </w:tc>
              <w:tc>
                <w:tcPr>
                  <w:tcW w:w="1296" w:type="dxa"/>
                  <w:vMerge w:val="continue"/>
                  <w:noWrap w:val="0"/>
                  <w:vAlign w:val="center"/>
                </w:tcPr>
                <w:p w14:paraId="310B1F8E">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1446" w:type="dxa"/>
                  <w:vMerge w:val="continue"/>
                  <w:noWrap w:val="0"/>
                  <w:vAlign w:val="center"/>
                </w:tcPr>
                <w:p w14:paraId="30FEF280">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1336" w:type="dxa"/>
                  <w:noWrap w:val="0"/>
                  <w:vAlign w:val="center"/>
                </w:tcPr>
                <w:p w14:paraId="3278EC51">
                  <w:pPr>
                    <w:keepNext w:val="0"/>
                    <w:keepLines w:val="0"/>
                    <w:suppressLineNumbers w:val="0"/>
                    <w:spacing w:before="0" w:beforeAutospacing="0" w:after="0" w:afterAutospacing="0" w:line="240" w:lineRule="auto"/>
                    <w:ind w:left="-63" w:leftChars="-30" w:right="-63" w:rightChars="-3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30</w:t>
                  </w:r>
                </w:p>
              </w:tc>
            </w:tr>
            <w:tr w14:paraId="5BE27F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0" w:hRule="atLeast"/>
                <w:jc w:val="center"/>
              </w:trPr>
              <w:tc>
                <w:tcPr>
                  <w:tcW w:w="1131" w:type="dxa"/>
                  <w:noWrap w:val="0"/>
                  <w:vAlign w:val="center"/>
                </w:tcPr>
                <w:p w14:paraId="22CD39B2">
                  <w:pPr>
                    <w:keepNext w:val="0"/>
                    <w:keepLines w:val="0"/>
                    <w:suppressLineNumbers w:val="0"/>
                    <w:spacing w:before="0" w:beforeAutospacing="0" w:after="0" w:afterAutospacing="0" w:line="240" w:lineRule="auto"/>
                    <w:ind w:left="-63" w:leftChars="-30" w:right="-63" w:rightChars="-30"/>
                    <w:jc w:val="center"/>
                    <w:rPr>
                      <w:rFonts w:hint="default" w:eastAsia="宋体"/>
                      <w:color w:val="auto"/>
                      <w:szCs w:val="21"/>
                      <w:highlight w:val="none"/>
                      <w:lang w:val="en-US" w:eastAsia="zh-CN"/>
                    </w:rPr>
                  </w:pPr>
                  <w:r>
                    <w:rPr>
                      <w:rFonts w:hint="eastAsia"/>
                      <w:color w:val="auto"/>
                      <w:szCs w:val="21"/>
                      <w:highlight w:val="none"/>
                      <w:lang w:val="en-US" w:eastAsia="zh-CN"/>
                    </w:rPr>
                    <w:t>废包装材料</w:t>
                  </w:r>
                </w:p>
              </w:tc>
              <w:tc>
                <w:tcPr>
                  <w:tcW w:w="868" w:type="dxa"/>
                  <w:noWrap w:val="0"/>
                  <w:vAlign w:val="center"/>
                </w:tcPr>
                <w:p w14:paraId="193E515D">
                  <w:pPr>
                    <w:keepNext w:val="0"/>
                    <w:keepLines w:val="0"/>
                    <w:suppressLineNumbers w:val="0"/>
                    <w:spacing w:before="0" w:beforeAutospacing="0" w:after="0" w:afterAutospacing="0" w:line="240" w:lineRule="auto"/>
                    <w:ind w:left="-63" w:leftChars="-30" w:right="-63" w:rightChars="-3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2199" w:type="dxa"/>
                  <w:noWrap w:val="0"/>
                  <w:vAlign w:val="center"/>
                </w:tcPr>
                <w:p w14:paraId="53FEAF77">
                  <w:pPr>
                    <w:pStyle w:val="24"/>
                    <w:keepNext w:val="0"/>
                    <w:keepLines w:val="0"/>
                    <w:suppressLineNumbers w:val="0"/>
                    <w:snapToGrid/>
                    <w:spacing w:before="0" w:beforeAutospacing="0" w:after="0" w:line="240" w:lineRule="auto"/>
                    <w:ind w:right="0"/>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SW17可再生类废物</w:t>
                  </w:r>
                </w:p>
                <w:p w14:paraId="4BC852C6">
                  <w:pPr>
                    <w:pStyle w:val="24"/>
                    <w:keepNext w:val="0"/>
                    <w:keepLines w:val="0"/>
                    <w:suppressLineNumbers w:val="0"/>
                    <w:snapToGrid/>
                    <w:spacing w:before="0" w:beforeAutospacing="0" w:after="0" w:line="240" w:lineRule="auto"/>
                    <w:ind w:right="0"/>
                    <w:rPr>
                      <w:rFonts w:hint="default"/>
                      <w:color w:val="auto"/>
                      <w:sz w:val="21"/>
                      <w:szCs w:val="21"/>
                      <w:highlight w:val="none"/>
                    </w:rPr>
                  </w:pPr>
                  <w:r>
                    <w:rPr>
                      <w:rFonts w:hint="default" w:ascii="Times New Roman" w:hAnsi="Times New Roman" w:eastAsia="宋体" w:cs="Times New Roman"/>
                      <w:kern w:val="0"/>
                      <w:sz w:val="21"/>
                      <w:szCs w:val="21"/>
                      <w:lang w:val="en-US" w:eastAsia="zh-CN" w:bidi="ar-SA"/>
                    </w:rPr>
                    <w:t>900-00</w:t>
                  </w:r>
                  <w:r>
                    <w:rPr>
                      <w:rFonts w:hint="eastAsia" w:ascii="Times New Roman" w:hAnsi="Times New Roman" w:eastAsia="宋体" w:cs="Times New Roman"/>
                      <w:kern w:val="0"/>
                      <w:sz w:val="21"/>
                      <w:szCs w:val="21"/>
                      <w:lang w:val="en-US" w:eastAsia="zh-CN" w:bidi="ar-SA"/>
                    </w:rPr>
                    <w:t>3</w:t>
                  </w:r>
                  <w:r>
                    <w:rPr>
                      <w:rFonts w:hint="default" w:ascii="Times New Roman" w:hAnsi="Times New Roman" w:eastAsia="宋体" w:cs="Times New Roman"/>
                      <w:kern w:val="0"/>
                      <w:sz w:val="21"/>
                      <w:szCs w:val="21"/>
                      <w:lang w:val="en-US" w:eastAsia="zh-CN" w:bidi="ar-SA"/>
                    </w:rPr>
                    <w:t>-S17</w:t>
                  </w:r>
                </w:p>
              </w:tc>
              <w:tc>
                <w:tcPr>
                  <w:tcW w:w="1296" w:type="dxa"/>
                  <w:vMerge w:val="continue"/>
                  <w:noWrap w:val="0"/>
                  <w:vAlign w:val="center"/>
                </w:tcPr>
                <w:p w14:paraId="7B93620D">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1446" w:type="dxa"/>
                  <w:vMerge w:val="continue"/>
                  <w:noWrap w:val="0"/>
                  <w:vAlign w:val="center"/>
                </w:tcPr>
                <w:p w14:paraId="479AF9F5">
                  <w:pPr>
                    <w:keepNext w:val="0"/>
                    <w:keepLines w:val="0"/>
                    <w:suppressLineNumbers w:val="0"/>
                    <w:spacing w:before="0" w:beforeAutospacing="0" w:after="0" w:afterAutospacing="0" w:line="240" w:lineRule="auto"/>
                    <w:ind w:left="-63" w:leftChars="-30" w:right="-63" w:rightChars="-30"/>
                    <w:jc w:val="center"/>
                    <w:rPr>
                      <w:rFonts w:hint="default"/>
                      <w:color w:val="auto"/>
                      <w:szCs w:val="21"/>
                      <w:highlight w:val="none"/>
                    </w:rPr>
                  </w:pPr>
                </w:p>
              </w:tc>
              <w:tc>
                <w:tcPr>
                  <w:tcW w:w="1336" w:type="dxa"/>
                  <w:noWrap w:val="0"/>
                  <w:vAlign w:val="center"/>
                </w:tcPr>
                <w:p w14:paraId="1F2A83D5">
                  <w:pPr>
                    <w:keepNext w:val="0"/>
                    <w:keepLines w:val="0"/>
                    <w:suppressLineNumbers w:val="0"/>
                    <w:spacing w:before="0" w:beforeAutospacing="0" w:after="0" w:afterAutospacing="0" w:line="240" w:lineRule="auto"/>
                    <w:ind w:left="-63" w:leftChars="-30" w:right="-63" w:rightChars="-3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p>
              </w:tc>
            </w:tr>
          </w:tbl>
          <w:p w14:paraId="5ED41053">
            <w:pPr>
              <w:keepNext w:val="0"/>
              <w:keepLines w:val="0"/>
              <w:suppressLineNumbers w:val="0"/>
              <w:spacing w:before="0" w:beforeAutospacing="0" w:after="0" w:afterAutospacing="0"/>
              <w:ind w:left="0" w:right="0"/>
              <w:rPr>
                <w:rFonts w:hint="default"/>
                <w:b/>
                <w:bCs/>
                <w:color w:val="auto"/>
                <w:szCs w:val="21"/>
                <w:highlight w:val="none"/>
              </w:rPr>
            </w:pPr>
            <w:r>
              <w:rPr>
                <w:rFonts w:hint="default"/>
                <w:b/>
                <w:bCs/>
                <w:color w:val="auto"/>
                <w:szCs w:val="21"/>
                <w:highlight w:val="none"/>
              </w:rPr>
              <w:t>4.</w:t>
            </w:r>
            <w:r>
              <w:rPr>
                <w:rFonts w:hint="eastAsia"/>
                <w:b/>
                <w:bCs/>
                <w:color w:val="auto"/>
                <w:szCs w:val="21"/>
                <w:highlight w:val="none"/>
              </w:rPr>
              <w:t>4</w:t>
            </w:r>
            <w:r>
              <w:rPr>
                <w:rFonts w:hint="default"/>
                <w:b/>
                <w:bCs/>
                <w:color w:val="auto"/>
                <w:szCs w:val="21"/>
                <w:highlight w:val="none"/>
              </w:rPr>
              <w:t>.</w:t>
            </w:r>
            <w:r>
              <w:rPr>
                <w:rFonts w:hint="eastAsia"/>
                <w:b/>
                <w:bCs/>
                <w:color w:val="auto"/>
                <w:szCs w:val="21"/>
                <w:highlight w:val="none"/>
              </w:rPr>
              <w:t>2固废管理要求</w:t>
            </w:r>
          </w:p>
          <w:p w14:paraId="3BD3502E">
            <w:pPr>
              <w:keepNext w:val="0"/>
              <w:keepLines w:val="0"/>
              <w:suppressLineNumbers w:val="0"/>
              <w:spacing w:before="0" w:beforeAutospacing="0" w:after="0" w:afterAutospacing="0"/>
              <w:ind w:left="0" w:right="0" w:firstLine="422" w:firstLineChars="200"/>
              <w:rPr>
                <w:rFonts w:hint="default"/>
                <w:b/>
                <w:bCs/>
                <w:color w:val="auto"/>
                <w:szCs w:val="21"/>
                <w:highlight w:val="none"/>
              </w:rPr>
            </w:pPr>
            <w:r>
              <w:rPr>
                <w:rFonts w:hint="default"/>
                <w:b/>
                <w:bCs/>
                <w:color w:val="auto"/>
                <w:szCs w:val="21"/>
                <w:highlight w:val="none"/>
              </w:rPr>
              <w:t>（1）固废贮存设施</w:t>
            </w:r>
            <w:r>
              <w:rPr>
                <w:rFonts w:hint="eastAsia"/>
                <w:b/>
                <w:bCs/>
                <w:color w:val="auto"/>
                <w:szCs w:val="21"/>
                <w:highlight w:val="none"/>
              </w:rPr>
              <w:t>及管理要求</w:t>
            </w:r>
          </w:p>
          <w:p w14:paraId="14A996C3">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项目生产车间内均设垃圾收集点，厂区内生活垃圾集中收集后委托当地环卫部门统一清运处置</w:t>
            </w:r>
            <w:r>
              <w:rPr>
                <w:rFonts w:hint="eastAsia"/>
                <w:color w:val="auto"/>
                <w:szCs w:val="21"/>
                <w:highlight w:val="none"/>
              </w:rPr>
              <w:t>；</w:t>
            </w:r>
            <w:r>
              <w:rPr>
                <w:rFonts w:hint="default"/>
                <w:color w:val="auto"/>
                <w:szCs w:val="21"/>
                <w:highlight w:val="none"/>
              </w:rPr>
              <w:t>生产车间设置1个一般工业固体废物暂存区，一般固废进行分类收集后暂存一般固废区，定期外售相关部门。一般固废区的建设需符合《一般工业固体废物贮存和填埋污染控制标准》（GB18599-2020）。</w:t>
            </w:r>
          </w:p>
          <w:p w14:paraId="7191400A">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rPr>
              <w:t>①一般固体废物环境管理要求</w:t>
            </w:r>
            <w:r>
              <w:rPr>
                <w:rFonts w:hint="default"/>
                <w:color w:val="auto"/>
                <w:szCs w:val="21"/>
                <w:highlight w:val="none"/>
              </w:rPr>
              <w:t>：</w:t>
            </w:r>
          </w:p>
          <w:p w14:paraId="223C750D">
            <w:pPr>
              <w:keepNext w:val="0"/>
              <w:keepLines w:val="0"/>
              <w:suppressLineNumbers w:val="0"/>
              <w:spacing w:before="0" w:beforeAutospacing="0" w:after="0" w:afterAutospacing="0"/>
              <w:ind w:left="0" w:right="0" w:firstLine="420" w:firstLineChars="200"/>
              <w:rPr>
                <w:rFonts w:hint="eastAsia"/>
                <w:color w:val="auto"/>
                <w:szCs w:val="21"/>
                <w:highlight w:val="none"/>
              </w:rPr>
            </w:pPr>
            <w:r>
              <w:rPr>
                <w:rFonts w:hint="eastAsia"/>
                <w:color w:val="auto"/>
                <w:szCs w:val="21"/>
                <w:highlight w:val="none"/>
              </w:rPr>
              <w:t>1）</w:t>
            </w:r>
            <w:r>
              <w:rPr>
                <w:rFonts w:hint="default"/>
                <w:color w:val="auto"/>
                <w:szCs w:val="21"/>
                <w:highlight w:val="none"/>
              </w:rPr>
              <w:t>贮存、处置场的建设类型，须与将要堆放的一般工业固体废物的类别一致</w:t>
            </w:r>
            <w:r>
              <w:rPr>
                <w:rFonts w:hint="eastAsia"/>
                <w:color w:val="auto"/>
                <w:szCs w:val="21"/>
                <w:highlight w:val="none"/>
              </w:rPr>
              <w:t>；</w:t>
            </w:r>
          </w:p>
          <w:p w14:paraId="1A18EF1E">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rPr>
              <w:t>2）</w:t>
            </w:r>
            <w:r>
              <w:rPr>
                <w:rFonts w:hint="default"/>
                <w:color w:val="auto"/>
                <w:szCs w:val="21"/>
                <w:highlight w:val="none"/>
              </w:rPr>
              <w:t>地面应采取硬化措施并满足承载力要求，必要时采取相应措施防止地基下沉；</w:t>
            </w:r>
          </w:p>
          <w:p w14:paraId="1C7BF97D">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rPr>
              <w:t>3）</w:t>
            </w:r>
            <w:r>
              <w:rPr>
                <w:rFonts w:hint="default"/>
                <w:color w:val="auto"/>
                <w:szCs w:val="21"/>
                <w:highlight w:val="none"/>
              </w:rPr>
              <w:t>按采用库房、包装工具（罐、桶、包装袋等）贮存一般工业固体废物的，要求设置防风、防雨、防晒等措施，并采取相应的防尘措施</w:t>
            </w:r>
            <w:r>
              <w:rPr>
                <w:rFonts w:hint="eastAsia"/>
                <w:color w:val="auto"/>
                <w:szCs w:val="21"/>
                <w:highlight w:val="none"/>
              </w:rPr>
              <w:t>，</w:t>
            </w:r>
            <w:r>
              <w:rPr>
                <w:rFonts w:hint="default"/>
                <w:color w:val="auto"/>
                <w:szCs w:val="21"/>
                <w:highlight w:val="none"/>
              </w:rPr>
              <w:t>贮存过程应满足相应防渗漏、防雨淋、防扬尘等环境保护要求；</w:t>
            </w:r>
          </w:p>
          <w:p w14:paraId="4974FB3F">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rPr>
              <w:t>4）</w:t>
            </w:r>
            <w:r>
              <w:rPr>
                <w:rFonts w:hint="default"/>
                <w:color w:val="auto"/>
                <w:szCs w:val="21"/>
                <w:highlight w:val="none"/>
              </w:rPr>
              <w:t>按《环境保护图形标识—固体废物贮存（处置）场》要求设置环境保护图形标志。</w:t>
            </w:r>
          </w:p>
          <w:p w14:paraId="1A570AB5">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rPr>
              <w:t>5）明确负责人及相关设施、场地。明确固体废物产生部门、贮存部门负责人，为固体废物产生设施、贮存设施编码。</w:t>
            </w:r>
          </w:p>
          <w:p w14:paraId="3F4BF96A">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rPr>
              <w:t>①一般固体废物管理台账要求</w:t>
            </w:r>
            <w:r>
              <w:rPr>
                <w:rFonts w:hint="default"/>
                <w:color w:val="auto"/>
                <w:szCs w:val="21"/>
                <w:highlight w:val="none"/>
              </w:rPr>
              <w:t>：</w:t>
            </w:r>
          </w:p>
          <w:p w14:paraId="224676D4">
            <w:pPr>
              <w:keepNext w:val="0"/>
              <w:keepLines w:val="0"/>
              <w:suppressLineNumbers w:val="0"/>
              <w:spacing w:before="0" w:beforeAutospacing="0" w:after="0" w:afterAutospacing="0"/>
              <w:ind w:left="0" w:right="0" w:firstLine="420" w:firstLineChars="200"/>
              <w:rPr>
                <w:rFonts w:hint="eastAsia"/>
                <w:color w:val="auto"/>
                <w:highlight w:val="none"/>
              </w:rPr>
            </w:pPr>
            <w:r>
              <w:rPr>
                <w:rFonts w:hint="eastAsia"/>
                <w:color w:val="auto"/>
                <w:highlight w:val="none"/>
              </w:rPr>
              <w:t>1）一般工业固体废物管理台账实施分级管理。一般工业固体废物产生清单按年填写，应当结合环境影响评价、排污许可等材料，根据实际生产运营情况记录固体废物产生信息，生产工艺发生重大变动等原因导致固体废物产生种类等发生变化的，应当及时另行填写一般工业固体废物产生清单；一般工业固体废物流向汇总表按月填写，记录固体废物的产生、贮存、利用、处置数量和利用、处置方式等信息；一般工业固体废物出厂环节记录表按批次填写，每一批次固体废物的出厂以及转移信息均应当如实记录。</w:t>
            </w:r>
          </w:p>
          <w:p w14:paraId="2F682087">
            <w:pPr>
              <w:keepNext w:val="0"/>
              <w:keepLines w:val="0"/>
              <w:suppressLineNumbers w:val="0"/>
              <w:spacing w:before="0" w:beforeAutospacing="0" w:after="0" w:afterAutospacing="0"/>
              <w:ind w:left="0" w:right="0" w:firstLine="420" w:firstLineChars="200"/>
              <w:rPr>
                <w:rFonts w:hint="eastAsia"/>
                <w:color w:val="auto"/>
                <w:highlight w:val="none"/>
              </w:rPr>
            </w:pPr>
            <w:r>
              <w:rPr>
                <w:rFonts w:hint="eastAsia"/>
                <w:color w:val="auto"/>
                <w:highlight w:val="none"/>
              </w:rPr>
              <w:t>2）一般工业固体废物产生环节记录表、一般工业固体废物贮存环节记录表、一般工业固体废物自行利用环节记录表（运出）主要用于记录固体废物在产废单位内部的产生、贮存、利用等信息。填写时应确保固体废物的来源信息、流向信息完整准确；根据固体废物产生周期，可按日或按班次、批次填写。</w:t>
            </w:r>
          </w:p>
          <w:p w14:paraId="69A726B6">
            <w:pPr>
              <w:keepNext w:val="0"/>
              <w:keepLines w:val="0"/>
              <w:suppressLineNumbers w:val="0"/>
              <w:spacing w:before="0" w:beforeAutospacing="0" w:after="0" w:afterAutospacing="0"/>
              <w:ind w:left="0" w:right="0" w:firstLine="420" w:firstLineChars="200"/>
              <w:rPr>
                <w:rFonts w:hint="eastAsia"/>
                <w:color w:val="auto"/>
                <w:highlight w:val="none"/>
              </w:rPr>
            </w:pPr>
            <w:r>
              <w:rPr>
                <w:rFonts w:hint="eastAsia"/>
                <w:color w:val="auto"/>
                <w:highlight w:val="none"/>
              </w:rPr>
              <w:t>3）产废单位填写台账记录表时，应当根据自身固体废物产生情况，从一般工业固体废物分类表中选择对应的固体废物种类和代码，并根据固体废物种类确定固体废物的具体名称。</w:t>
            </w:r>
          </w:p>
          <w:p w14:paraId="0A5F2AF9">
            <w:pPr>
              <w:keepNext w:val="0"/>
              <w:keepLines w:val="0"/>
              <w:suppressLineNumbers w:val="0"/>
              <w:spacing w:before="0" w:beforeAutospacing="0" w:after="0" w:afterAutospacing="0"/>
              <w:ind w:left="0" w:right="0" w:firstLine="420" w:firstLineChars="200"/>
              <w:rPr>
                <w:rFonts w:hint="eastAsia"/>
                <w:color w:val="auto"/>
                <w:highlight w:val="none"/>
              </w:rPr>
            </w:pPr>
            <w:r>
              <w:rPr>
                <w:rFonts w:hint="eastAsia"/>
                <w:color w:val="auto"/>
                <w:highlight w:val="none"/>
              </w:rPr>
              <w:t>4）鼓励产废单位采用国家建立的一般工业固体废物管理电子台账，简化数据填写、台账管理等工作。地方和企业自行开发的电子台账要实现与国家系统对接。建立电子台账的产废单位，可不再记录纸质台账。</w:t>
            </w:r>
          </w:p>
          <w:p w14:paraId="52FFC224">
            <w:pPr>
              <w:keepNext w:val="0"/>
              <w:keepLines w:val="0"/>
              <w:suppressLineNumbers w:val="0"/>
              <w:spacing w:before="0" w:beforeAutospacing="0" w:after="0" w:afterAutospacing="0"/>
              <w:ind w:left="0" w:right="0" w:firstLine="420" w:firstLineChars="200"/>
              <w:rPr>
                <w:rFonts w:hint="default"/>
                <w:color w:val="auto"/>
                <w:highlight w:val="none"/>
              </w:rPr>
            </w:pPr>
            <w:r>
              <w:rPr>
                <w:rFonts w:hint="eastAsia"/>
                <w:color w:val="auto"/>
                <w:highlight w:val="none"/>
              </w:rPr>
              <w:t>5）台账记录表各表单的负责人对记录信息的真实性、完整性和规范性负责。</w:t>
            </w:r>
          </w:p>
          <w:p w14:paraId="76C092E0">
            <w:pPr>
              <w:keepNext w:val="0"/>
              <w:keepLines w:val="0"/>
              <w:suppressLineNumbers w:val="0"/>
              <w:spacing w:before="0" w:beforeAutospacing="0" w:after="0" w:afterAutospacing="0"/>
              <w:ind w:left="0" w:right="0" w:firstLine="420" w:firstLineChars="200"/>
              <w:rPr>
                <w:rFonts w:hint="default"/>
                <w:color w:val="auto"/>
                <w:highlight w:val="none"/>
              </w:rPr>
            </w:pPr>
            <w:r>
              <w:rPr>
                <w:rFonts w:hint="eastAsia"/>
                <w:color w:val="auto"/>
                <w:highlight w:val="none"/>
              </w:rPr>
              <w:t>6）产废单位应当设立专人负责台账的管理与归档，一般工业固体废物管理台账保存期限不少于5年。</w:t>
            </w:r>
          </w:p>
          <w:p w14:paraId="78ACB0E3">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eastAsia"/>
                <w:color w:val="auto"/>
                <w:highlight w:val="none"/>
              </w:rPr>
              <w:t>7）鼓励有条件的产废单位在固体废物产生场所、贮存场所及磅秤位置等关键点位设置视频监控，提高台账记录信息的准确性。</w:t>
            </w:r>
          </w:p>
          <w:p w14:paraId="70F0E189">
            <w:pPr>
              <w:keepNext w:val="0"/>
              <w:keepLines w:val="0"/>
              <w:suppressLineNumbers w:val="0"/>
              <w:spacing w:before="0" w:beforeAutospacing="0" w:after="0" w:afterAutospacing="0"/>
              <w:ind w:left="0" w:right="0" w:firstLine="422" w:firstLineChars="200"/>
              <w:rPr>
                <w:rFonts w:hint="default"/>
                <w:color w:val="auto"/>
                <w:szCs w:val="21"/>
                <w:highlight w:val="none"/>
              </w:rPr>
            </w:pPr>
            <w:r>
              <w:rPr>
                <w:rFonts w:hint="default"/>
                <w:b/>
                <w:bCs/>
                <w:color w:val="auto"/>
                <w:szCs w:val="21"/>
                <w:highlight w:val="none"/>
              </w:rPr>
              <w:t>（</w:t>
            </w:r>
            <w:r>
              <w:rPr>
                <w:rFonts w:hint="eastAsia"/>
                <w:b/>
                <w:bCs/>
                <w:color w:val="auto"/>
                <w:szCs w:val="21"/>
                <w:highlight w:val="none"/>
                <w:lang w:val="en-US" w:eastAsia="zh-CN"/>
              </w:rPr>
              <w:t>2</w:t>
            </w:r>
            <w:r>
              <w:rPr>
                <w:rFonts w:hint="default"/>
                <w:b/>
                <w:bCs/>
                <w:color w:val="auto"/>
                <w:szCs w:val="21"/>
                <w:highlight w:val="none"/>
              </w:rPr>
              <w:t>）小结</w:t>
            </w:r>
          </w:p>
          <w:p w14:paraId="20F6F758">
            <w:pPr>
              <w:keepNext w:val="0"/>
              <w:keepLines w:val="0"/>
              <w:suppressLineNumbers w:val="0"/>
              <w:spacing w:before="0" w:beforeAutospacing="0" w:after="0" w:afterAutospacing="0"/>
              <w:ind w:left="0" w:right="0" w:firstLine="420" w:firstLineChars="200"/>
              <w:rPr>
                <w:rFonts w:hint="default"/>
                <w:b/>
                <w:bCs/>
                <w:color w:val="auto"/>
                <w:sz w:val="24"/>
                <w:highlight w:val="none"/>
              </w:rPr>
            </w:pPr>
            <w:r>
              <w:rPr>
                <w:rFonts w:hint="default"/>
                <w:color w:val="auto"/>
                <w:szCs w:val="21"/>
                <w:highlight w:val="none"/>
              </w:rPr>
              <w:t>以</w:t>
            </w:r>
            <w:r>
              <w:rPr>
                <w:rFonts w:hint="eastAsia" w:ascii="宋体" w:hAnsi="宋体" w:cs="宋体"/>
                <w:color w:val="auto"/>
                <w:szCs w:val="21"/>
                <w:highlight w:val="none"/>
              </w:rPr>
              <w:t>“</w:t>
            </w:r>
            <w:r>
              <w:rPr>
                <w:rFonts w:hint="default"/>
                <w:color w:val="auto"/>
                <w:szCs w:val="21"/>
                <w:highlight w:val="none"/>
              </w:rPr>
              <w:t>减量化，资源化，无害化</w:t>
            </w:r>
            <w:r>
              <w:rPr>
                <w:rFonts w:hint="default" w:ascii="宋体" w:hAnsi="宋体" w:cs="宋体"/>
                <w:color w:val="auto"/>
                <w:szCs w:val="21"/>
                <w:highlight w:val="none"/>
              </w:rPr>
              <w:t>”</w:t>
            </w:r>
            <w:r>
              <w:rPr>
                <w:rFonts w:hint="default"/>
                <w:color w:val="auto"/>
                <w:szCs w:val="21"/>
                <w:highlight w:val="none"/>
              </w:rPr>
              <w:t>为基本原则，在一般固废的产生、收集、贮存、运输、利用和处置等全过程以及运营期、服务期满后等全时段加强管理，本项目的固体废物不会对周围环境产生不利影响。综上所述，所采取的固废治理措施可行。</w:t>
            </w:r>
          </w:p>
          <w:p w14:paraId="4A0E3421">
            <w:pPr>
              <w:keepNext w:val="0"/>
              <w:keepLines w:val="0"/>
              <w:suppressLineNumbers w:val="0"/>
              <w:spacing w:before="0" w:beforeAutospacing="0" w:after="0" w:afterAutospacing="0"/>
              <w:ind w:left="0" w:right="0"/>
              <w:rPr>
                <w:rFonts w:hint="default"/>
                <w:b/>
                <w:bCs/>
                <w:color w:val="auto"/>
                <w:sz w:val="24"/>
                <w:highlight w:val="none"/>
              </w:rPr>
            </w:pPr>
            <w:r>
              <w:rPr>
                <w:rFonts w:hint="default"/>
                <w:b/>
                <w:bCs/>
                <w:color w:val="auto"/>
                <w:sz w:val="24"/>
                <w:highlight w:val="none"/>
              </w:rPr>
              <w:t>4.5土壤环境的影响分析</w:t>
            </w:r>
          </w:p>
          <w:p w14:paraId="4C058D34">
            <w:pPr>
              <w:pStyle w:val="24"/>
              <w:keepNext w:val="0"/>
              <w:keepLines w:val="0"/>
              <w:suppressLineNumbers w:val="0"/>
              <w:snapToGrid/>
              <w:spacing w:before="0" w:beforeAutospacing="0" w:after="0"/>
              <w:ind w:right="0" w:firstLine="420" w:firstLineChars="200"/>
              <w:jc w:val="both"/>
              <w:rPr>
                <w:rFonts w:hint="default"/>
                <w:bCs/>
                <w:color w:val="auto"/>
                <w:spacing w:val="-10"/>
                <w:szCs w:val="21"/>
                <w:highlight w:val="none"/>
              </w:rPr>
            </w:pPr>
            <w:r>
              <w:rPr>
                <w:rFonts w:hint="eastAsia"/>
                <w:color w:val="auto"/>
                <w:sz w:val="21"/>
                <w:szCs w:val="21"/>
                <w:highlight w:val="none"/>
              </w:rPr>
              <w:t>本项目厂区地面均已经全部采用水泥硬化处理，且已做好防腐防渗处理，因此本项目生产过程对土壤环境没有污染途径，</w:t>
            </w:r>
            <w:r>
              <w:rPr>
                <w:rFonts w:hint="default"/>
                <w:bCs/>
                <w:color w:val="auto"/>
                <w:sz w:val="21"/>
                <w:szCs w:val="21"/>
                <w:highlight w:val="none"/>
              </w:rPr>
              <w:t>对土壤环境影响甚微</w:t>
            </w:r>
            <w:r>
              <w:rPr>
                <w:rFonts w:hint="eastAsia"/>
                <w:bCs/>
                <w:color w:val="auto"/>
                <w:sz w:val="21"/>
                <w:szCs w:val="21"/>
                <w:highlight w:val="none"/>
              </w:rPr>
              <w:t>，故本评价不做土壤环境影响分析</w:t>
            </w:r>
            <w:r>
              <w:rPr>
                <w:rFonts w:hint="default"/>
                <w:bCs/>
                <w:color w:val="auto"/>
                <w:sz w:val="21"/>
                <w:szCs w:val="21"/>
                <w:highlight w:val="none"/>
              </w:rPr>
              <w:t>。</w:t>
            </w:r>
          </w:p>
          <w:p w14:paraId="57D03B78">
            <w:pPr>
              <w:keepNext w:val="0"/>
              <w:keepLines w:val="0"/>
              <w:suppressLineNumbers w:val="0"/>
              <w:spacing w:before="0" w:beforeAutospacing="0" w:after="0" w:afterAutospacing="0"/>
              <w:ind w:left="0" w:right="0"/>
              <w:rPr>
                <w:rFonts w:hint="default"/>
                <w:bCs/>
                <w:color w:val="auto"/>
                <w:spacing w:val="-10"/>
                <w:sz w:val="24"/>
                <w:highlight w:val="none"/>
              </w:rPr>
            </w:pPr>
            <w:r>
              <w:rPr>
                <w:rFonts w:hint="default"/>
                <w:b/>
                <w:color w:val="auto"/>
                <w:spacing w:val="-10"/>
                <w:sz w:val="24"/>
                <w:highlight w:val="none"/>
              </w:rPr>
              <w:t>4.6地下水环境影响评价</w:t>
            </w:r>
          </w:p>
          <w:p w14:paraId="740B6A81">
            <w:pPr>
              <w:keepNext w:val="0"/>
              <w:keepLines w:val="0"/>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rPr>
              <w:t>（1）地下水环境影响分析</w:t>
            </w:r>
          </w:p>
          <w:p w14:paraId="73B771AD">
            <w:pPr>
              <w:keepNext w:val="0"/>
              <w:keepLines w:val="0"/>
              <w:suppressLineNumbers w:val="0"/>
              <w:spacing w:before="0" w:beforeAutospacing="0" w:after="0" w:afterAutospacing="0"/>
              <w:ind w:left="0" w:right="0" w:firstLine="420" w:firstLineChars="200"/>
              <w:rPr>
                <w:rFonts w:hint="eastAsia"/>
                <w:color w:val="auto"/>
                <w:szCs w:val="21"/>
                <w:highlight w:val="none"/>
              </w:rPr>
            </w:pPr>
            <w:r>
              <w:rPr>
                <w:rFonts w:hint="default"/>
                <w:color w:val="auto"/>
                <w:szCs w:val="21"/>
                <w:highlight w:val="none"/>
              </w:rPr>
              <w:t>本项目位于已建厂房，排放的</w:t>
            </w:r>
            <w:r>
              <w:rPr>
                <w:rFonts w:hint="eastAsia"/>
                <w:color w:val="auto"/>
                <w:szCs w:val="21"/>
                <w:highlight w:val="none"/>
              </w:rPr>
              <w:t>废水</w:t>
            </w:r>
            <w:r>
              <w:rPr>
                <w:rFonts w:hint="default"/>
                <w:color w:val="auto"/>
                <w:szCs w:val="21"/>
                <w:highlight w:val="none"/>
              </w:rPr>
              <w:t>主要为</w:t>
            </w:r>
            <w:r>
              <w:rPr>
                <w:rFonts w:hint="eastAsia"/>
                <w:color w:val="auto"/>
                <w:szCs w:val="21"/>
                <w:highlight w:val="none"/>
              </w:rPr>
              <w:t>职工生活污水。</w:t>
            </w:r>
          </w:p>
          <w:p w14:paraId="67925AC2">
            <w:pPr>
              <w:keepNext w:val="0"/>
              <w:keepLines w:val="0"/>
              <w:suppressLineNumbers w:val="0"/>
              <w:spacing w:before="0" w:beforeAutospacing="0" w:after="0" w:afterAutospacing="0"/>
              <w:ind w:left="0" w:right="0" w:firstLine="420" w:firstLineChars="200"/>
              <w:rPr>
                <w:rFonts w:hint="eastAsia"/>
                <w:color w:val="auto"/>
                <w:szCs w:val="21"/>
                <w:highlight w:val="none"/>
              </w:rPr>
            </w:pPr>
            <w:r>
              <w:rPr>
                <w:rFonts w:hint="eastAsia"/>
                <w:color w:val="auto"/>
                <w:szCs w:val="21"/>
                <w:highlight w:val="none"/>
              </w:rPr>
              <w:t>生活污水收集系统泄漏：项目生活污水收集系统沿用厂房原有收集系统，正常情况下不存在泄漏可能，基本不会对地下水环境产生污染。</w:t>
            </w:r>
          </w:p>
          <w:p w14:paraId="18A523B3">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rPr>
              <w:t>（2）</w:t>
            </w:r>
            <w:r>
              <w:rPr>
                <w:rFonts w:hint="default"/>
                <w:color w:val="auto"/>
                <w:szCs w:val="21"/>
                <w:highlight w:val="none"/>
              </w:rPr>
              <w:t>地下水污染防治措施</w:t>
            </w:r>
          </w:p>
          <w:p w14:paraId="7605FB32">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A、地下水保护措施应以预防为主，减少污染物进入地下水含水层的几率和途径，工程前期应做好地下水分区防渗。</w:t>
            </w:r>
          </w:p>
          <w:p w14:paraId="3207B0A2">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rPr>
              <w:t>B</w:t>
            </w:r>
            <w:r>
              <w:rPr>
                <w:rFonts w:hint="default"/>
                <w:color w:val="auto"/>
                <w:szCs w:val="21"/>
                <w:highlight w:val="none"/>
              </w:rPr>
              <w:t>、日常需派专门人员进行巡查，禁止跑冒滴漏的情况发生。</w:t>
            </w:r>
          </w:p>
          <w:p w14:paraId="1030F72D">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eastAsia"/>
                <w:color w:val="auto"/>
                <w:szCs w:val="21"/>
                <w:highlight w:val="none"/>
              </w:rPr>
              <w:t>C</w:t>
            </w:r>
            <w:r>
              <w:rPr>
                <w:rFonts w:hint="default"/>
                <w:color w:val="auto"/>
                <w:szCs w:val="21"/>
                <w:highlight w:val="none"/>
              </w:rPr>
              <w:t>、厂区废水收集方式应为明沟套明管。</w:t>
            </w:r>
          </w:p>
          <w:p w14:paraId="7BB89C17">
            <w:pPr>
              <w:keepNext w:val="0"/>
              <w:keepLines w:val="0"/>
              <w:suppressLineNumbers w:val="0"/>
              <w:spacing w:before="0" w:beforeAutospacing="0" w:after="0" w:afterAutospacing="0"/>
              <w:ind w:left="0" w:right="0" w:firstLine="420" w:firstLineChars="200"/>
              <w:rPr>
                <w:rFonts w:hint="eastAsia"/>
                <w:color w:val="auto"/>
                <w:szCs w:val="21"/>
                <w:highlight w:val="none"/>
              </w:rPr>
            </w:pPr>
            <w:r>
              <w:rPr>
                <w:rFonts w:hint="eastAsia"/>
                <w:color w:val="auto"/>
                <w:szCs w:val="21"/>
                <w:highlight w:val="none"/>
              </w:rPr>
              <w:t>（3）地下水环境监测要求情况</w:t>
            </w:r>
          </w:p>
          <w:p w14:paraId="48B135C7">
            <w:pPr>
              <w:keepNext w:val="0"/>
              <w:keepLines w:val="0"/>
              <w:suppressLineNumbers w:val="0"/>
              <w:spacing w:before="0" w:beforeAutospacing="0" w:after="0" w:afterAutospacing="0"/>
              <w:ind w:left="0" w:right="0" w:firstLine="420" w:firstLineChars="200"/>
              <w:rPr>
                <w:rFonts w:hint="eastAsia"/>
                <w:color w:val="auto"/>
                <w:szCs w:val="21"/>
                <w:highlight w:val="none"/>
              </w:rPr>
            </w:pPr>
            <w:r>
              <w:rPr>
                <w:rFonts w:hint="eastAsia"/>
                <w:color w:val="auto"/>
                <w:szCs w:val="21"/>
                <w:highlight w:val="none"/>
              </w:rPr>
              <w:t>根据上述地下水环境影响分析结果，本项目无需进行地下水环境跟踪监测。</w:t>
            </w:r>
          </w:p>
          <w:p w14:paraId="5B594FF6">
            <w:pPr>
              <w:keepNext w:val="0"/>
              <w:keepLines w:val="0"/>
              <w:suppressLineNumbers w:val="0"/>
              <w:spacing w:before="0" w:beforeAutospacing="0" w:after="0" w:afterAutospacing="0"/>
              <w:ind w:left="0" w:right="0"/>
              <w:rPr>
                <w:rFonts w:hint="default"/>
                <w:b/>
                <w:color w:val="auto"/>
                <w:spacing w:val="-10"/>
                <w:sz w:val="24"/>
                <w:highlight w:val="none"/>
              </w:rPr>
            </w:pPr>
            <w:r>
              <w:rPr>
                <w:rFonts w:hint="default"/>
                <w:b/>
                <w:color w:val="auto"/>
                <w:spacing w:val="-10"/>
                <w:sz w:val="24"/>
                <w:highlight w:val="none"/>
              </w:rPr>
              <w:t>4.7环境风险影响评价</w:t>
            </w:r>
          </w:p>
          <w:p w14:paraId="664C8A86">
            <w:pPr>
              <w:pStyle w:val="8"/>
              <w:suppressLineNumbers w:val="0"/>
              <w:spacing w:before="0" w:beforeAutospacing="0" w:after="0" w:afterAutospacing="0"/>
              <w:ind w:left="0" w:right="0"/>
              <w:outlineLvl w:val="2"/>
              <w:rPr>
                <w:rFonts w:hint="default"/>
                <w:color w:val="auto"/>
                <w:sz w:val="24"/>
                <w:highlight w:val="none"/>
              </w:rPr>
            </w:pPr>
            <w:r>
              <w:rPr>
                <w:rFonts w:hint="eastAsia"/>
                <w:color w:val="auto"/>
                <w:szCs w:val="21"/>
                <w:highlight w:val="none"/>
              </w:rPr>
              <w:t>4.7.1</w:t>
            </w:r>
            <w:r>
              <w:rPr>
                <w:rFonts w:hint="default"/>
                <w:color w:val="auto"/>
                <w:szCs w:val="21"/>
                <w:highlight w:val="none"/>
              </w:rPr>
              <w:t>环境风险潜势划分</w:t>
            </w:r>
          </w:p>
          <w:p w14:paraId="35DE12BA">
            <w:pPr>
              <w:keepNext w:val="0"/>
              <w:keepLines w:val="0"/>
              <w:suppressLineNumbers w:val="0"/>
              <w:spacing w:before="0" w:beforeAutospacing="0" w:after="0" w:afterAutospacing="0"/>
              <w:ind w:left="0" w:right="0" w:firstLine="420" w:firstLineChars="200"/>
              <w:rPr>
                <w:rFonts w:hint="default"/>
                <w:color w:val="auto"/>
                <w:sz w:val="24"/>
                <w:highlight w:val="none"/>
                <w:lang w:val="zh-CN"/>
              </w:rPr>
            </w:pPr>
            <w:r>
              <w:rPr>
                <w:rFonts w:hint="eastAsia"/>
                <w:color w:val="auto"/>
                <w:szCs w:val="21"/>
                <w:highlight w:val="none"/>
                <w:lang w:val="en-US" w:eastAsia="zh-CN"/>
              </w:rPr>
              <w:t>本项目不涉及使用环境风险物质，其</w:t>
            </w:r>
            <w:r>
              <w:rPr>
                <w:rFonts w:hint="default"/>
                <w:color w:val="auto"/>
                <w:kern w:val="0"/>
                <w:szCs w:val="21"/>
                <w:highlight w:val="none"/>
              </w:rPr>
              <w:t>Q</w:t>
            </w:r>
            <w:r>
              <w:rPr>
                <w:rFonts w:hint="eastAsia"/>
                <w:color w:val="auto"/>
                <w:kern w:val="0"/>
                <w:szCs w:val="21"/>
                <w:highlight w:val="none"/>
                <w:lang w:val="en-US" w:eastAsia="zh-CN"/>
              </w:rPr>
              <w:t>值默认为0</w:t>
            </w:r>
            <w:r>
              <w:rPr>
                <w:rFonts w:hint="eastAsia"/>
                <w:color w:val="auto"/>
                <w:kern w:val="0"/>
                <w:szCs w:val="21"/>
                <w:highlight w:val="none"/>
              </w:rPr>
              <w:t>，</w:t>
            </w:r>
            <w:r>
              <w:rPr>
                <w:rFonts w:hint="default"/>
                <w:color w:val="auto"/>
                <w:kern w:val="0"/>
                <w:szCs w:val="21"/>
                <w:highlight w:val="none"/>
              </w:rPr>
              <w:t>则本项目环境风险潜势为Ⅰ。根据</w:t>
            </w:r>
            <w:r>
              <w:rPr>
                <w:rFonts w:hint="eastAsia" w:ascii="宋体" w:hAnsi="宋体" w:cs="宋体"/>
                <w:color w:val="auto"/>
                <w:kern w:val="0"/>
                <w:szCs w:val="21"/>
                <w:highlight w:val="none"/>
              </w:rPr>
              <w:t>“关于印发《建设项目环境影响报告表》内容、格式及编制技术指南的通知”</w:t>
            </w:r>
            <w:r>
              <w:rPr>
                <w:rFonts w:hint="default"/>
                <w:color w:val="auto"/>
                <w:kern w:val="0"/>
                <w:szCs w:val="21"/>
                <w:highlight w:val="none"/>
              </w:rPr>
              <w:t>环办环评〔2020〕33号，本项目无需开展专项评价。</w:t>
            </w:r>
          </w:p>
          <w:p w14:paraId="610BFB18">
            <w:pPr>
              <w:keepNext w:val="0"/>
              <w:keepLines w:val="0"/>
              <w:suppressLineNumbers w:val="0"/>
              <w:spacing w:before="120" w:beforeLines="50" w:beforeAutospacing="0" w:after="0" w:afterAutospacing="0"/>
              <w:ind w:left="0" w:right="0"/>
              <w:rPr>
                <w:rFonts w:hint="default"/>
                <w:b/>
                <w:color w:val="auto"/>
                <w:kern w:val="0"/>
                <w:szCs w:val="21"/>
                <w:highlight w:val="none"/>
              </w:rPr>
            </w:pPr>
            <w:r>
              <w:rPr>
                <w:rFonts w:hint="eastAsia"/>
                <w:b/>
                <w:bCs/>
                <w:color w:val="auto"/>
                <w:szCs w:val="21"/>
                <w:highlight w:val="none"/>
              </w:rPr>
              <w:t>4.7.2危险物质污染途径及危害分析</w:t>
            </w:r>
          </w:p>
          <w:p w14:paraId="025A5FF6">
            <w:pPr>
              <w:pStyle w:val="31"/>
              <w:keepNext w:val="0"/>
              <w:keepLines w:val="0"/>
              <w:suppressLineNumbers w:val="0"/>
              <w:spacing w:before="0" w:beforeAutospacing="0" w:after="0" w:afterAutospacing="0" w:line="240" w:lineRule="auto"/>
              <w:ind w:left="0" w:right="0" w:firstLine="0" w:firstLineChars="0"/>
              <w:jc w:val="center"/>
              <w:rPr>
                <w:rFonts w:hint="default"/>
                <w:b/>
                <w:bCs/>
                <w:color w:val="auto"/>
                <w:sz w:val="21"/>
                <w:szCs w:val="21"/>
                <w:highlight w:val="none"/>
              </w:rPr>
            </w:pPr>
            <w:r>
              <w:rPr>
                <w:rFonts w:hint="default"/>
                <w:b/>
                <w:bCs/>
                <w:color w:val="auto"/>
                <w:sz w:val="21"/>
                <w:szCs w:val="21"/>
                <w:highlight w:val="none"/>
              </w:rPr>
              <w:t>表</w:t>
            </w:r>
            <w:r>
              <w:rPr>
                <w:rFonts w:hint="eastAsia"/>
                <w:b/>
                <w:bCs/>
                <w:color w:val="auto"/>
                <w:sz w:val="21"/>
                <w:szCs w:val="21"/>
                <w:highlight w:val="none"/>
              </w:rPr>
              <w:t>4-</w:t>
            </w:r>
            <w:r>
              <w:rPr>
                <w:rFonts w:hint="eastAsia"/>
                <w:b/>
                <w:bCs/>
                <w:color w:val="auto"/>
                <w:sz w:val="21"/>
                <w:szCs w:val="21"/>
                <w:highlight w:val="none"/>
                <w:lang w:val="en-US" w:eastAsia="zh-CN"/>
              </w:rPr>
              <w:t>21</w:t>
            </w:r>
            <w:r>
              <w:rPr>
                <w:rFonts w:hint="default"/>
                <w:b/>
                <w:bCs/>
                <w:color w:val="auto"/>
                <w:sz w:val="21"/>
                <w:szCs w:val="21"/>
                <w:highlight w:val="none"/>
              </w:rPr>
              <w:t xml:space="preserve">  </w:t>
            </w:r>
            <w:r>
              <w:rPr>
                <w:rFonts w:hint="default"/>
                <w:b/>
                <w:bCs/>
                <w:color w:val="auto"/>
                <w:sz w:val="21"/>
                <w:szCs w:val="21"/>
                <w:highlight w:val="none"/>
                <w:lang w:val="en-GB"/>
              </w:rPr>
              <w:t>项目</w:t>
            </w:r>
            <w:r>
              <w:rPr>
                <w:rFonts w:hint="eastAsia"/>
                <w:b/>
                <w:bCs/>
                <w:color w:val="auto"/>
                <w:sz w:val="21"/>
                <w:szCs w:val="21"/>
                <w:highlight w:val="none"/>
              </w:rPr>
              <w:t>危险物质污染途径及危害分析表</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71"/>
              <w:gridCol w:w="2721"/>
              <w:gridCol w:w="2475"/>
            </w:tblGrid>
            <w:tr w14:paraId="1C4F55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2" w:type="dxa"/>
                  <w:tcBorders>
                    <w:tl2br w:val="nil"/>
                    <w:tr2bl w:val="nil"/>
                  </w:tcBorders>
                  <w:noWrap w:val="0"/>
                  <w:vAlign w:val="center"/>
                </w:tcPr>
                <w:p w14:paraId="0A18172B">
                  <w:pPr>
                    <w:pStyle w:val="25"/>
                    <w:keepNext w:val="0"/>
                    <w:keepLines w:val="0"/>
                    <w:suppressLineNumbers w:val="0"/>
                    <w:spacing w:before="0" w:beforeAutospacing="0" w:after="0" w:afterAutospacing="0"/>
                    <w:ind w:left="0" w:right="0"/>
                    <w:rPr>
                      <w:rFonts w:hint="eastAsia"/>
                      <w:b/>
                      <w:bCs/>
                      <w:color w:val="auto"/>
                      <w:szCs w:val="24"/>
                      <w:highlight w:val="none"/>
                    </w:rPr>
                  </w:pPr>
                  <w:r>
                    <w:rPr>
                      <w:rFonts w:hint="eastAsia"/>
                      <w:b/>
                      <w:bCs/>
                      <w:color w:val="auto"/>
                      <w:szCs w:val="24"/>
                      <w:highlight w:val="none"/>
                    </w:rPr>
                    <w:t>名称</w:t>
                  </w:r>
                </w:p>
              </w:tc>
              <w:tc>
                <w:tcPr>
                  <w:tcW w:w="1252" w:type="dxa"/>
                  <w:tcBorders>
                    <w:tl2br w:val="nil"/>
                    <w:tr2bl w:val="nil"/>
                  </w:tcBorders>
                  <w:noWrap w:val="0"/>
                  <w:vAlign w:val="center"/>
                </w:tcPr>
                <w:p w14:paraId="4199C2D2">
                  <w:pPr>
                    <w:pStyle w:val="25"/>
                    <w:keepNext w:val="0"/>
                    <w:keepLines w:val="0"/>
                    <w:suppressLineNumbers w:val="0"/>
                    <w:spacing w:before="0" w:beforeAutospacing="0" w:after="0" w:afterAutospacing="0"/>
                    <w:ind w:left="0" w:right="0"/>
                    <w:rPr>
                      <w:rFonts w:hint="default"/>
                      <w:b/>
                      <w:bCs/>
                      <w:color w:val="auto"/>
                      <w:szCs w:val="24"/>
                      <w:highlight w:val="none"/>
                    </w:rPr>
                  </w:pPr>
                  <w:r>
                    <w:rPr>
                      <w:rFonts w:hint="eastAsia"/>
                      <w:b/>
                      <w:bCs/>
                      <w:color w:val="auto"/>
                      <w:szCs w:val="24"/>
                      <w:highlight w:val="none"/>
                    </w:rPr>
                    <w:t>风险因素</w:t>
                  </w:r>
                </w:p>
              </w:tc>
              <w:tc>
                <w:tcPr>
                  <w:tcW w:w="2680" w:type="dxa"/>
                  <w:tcBorders>
                    <w:tl2br w:val="nil"/>
                    <w:tr2bl w:val="nil"/>
                  </w:tcBorders>
                  <w:noWrap w:val="0"/>
                  <w:vAlign w:val="center"/>
                </w:tcPr>
                <w:p w14:paraId="7F193107">
                  <w:pPr>
                    <w:pStyle w:val="25"/>
                    <w:keepNext w:val="0"/>
                    <w:keepLines w:val="0"/>
                    <w:suppressLineNumbers w:val="0"/>
                    <w:spacing w:before="0" w:beforeAutospacing="0" w:after="0" w:afterAutospacing="0"/>
                    <w:ind w:left="0" w:right="0"/>
                    <w:rPr>
                      <w:rFonts w:hint="default"/>
                      <w:b/>
                      <w:bCs/>
                      <w:color w:val="auto"/>
                      <w:szCs w:val="24"/>
                      <w:highlight w:val="none"/>
                    </w:rPr>
                  </w:pPr>
                  <w:r>
                    <w:rPr>
                      <w:rFonts w:hint="eastAsia"/>
                      <w:b/>
                      <w:bCs/>
                      <w:color w:val="auto"/>
                      <w:szCs w:val="24"/>
                      <w:highlight w:val="none"/>
                    </w:rPr>
                    <w:t>污染途径</w:t>
                  </w:r>
                </w:p>
              </w:tc>
              <w:tc>
                <w:tcPr>
                  <w:tcW w:w="2437" w:type="dxa"/>
                  <w:tcBorders>
                    <w:tl2br w:val="nil"/>
                    <w:tr2bl w:val="nil"/>
                  </w:tcBorders>
                  <w:noWrap w:val="0"/>
                  <w:vAlign w:val="center"/>
                </w:tcPr>
                <w:p w14:paraId="2C6CB67F">
                  <w:pPr>
                    <w:pStyle w:val="25"/>
                    <w:keepNext w:val="0"/>
                    <w:keepLines w:val="0"/>
                    <w:suppressLineNumbers w:val="0"/>
                    <w:spacing w:before="0" w:beforeAutospacing="0" w:after="0" w:afterAutospacing="0"/>
                    <w:ind w:left="0" w:right="0"/>
                    <w:rPr>
                      <w:rFonts w:hint="default"/>
                      <w:b/>
                      <w:bCs/>
                      <w:color w:val="auto"/>
                      <w:szCs w:val="24"/>
                      <w:highlight w:val="none"/>
                    </w:rPr>
                  </w:pPr>
                  <w:r>
                    <w:rPr>
                      <w:rFonts w:hint="eastAsia"/>
                      <w:b/>
                      <w:bCs/>
                      <w:color w:val="auto"/>
                      <w:szCs w:val="24"/>
                      <w:highlight w:val="none"/>
                    </w:rPr>
                    <w:t>危害</w:t>
                  </w:r>
                </w:p>
              </w:tc>
            </w:tr>
            <w:tr w14:paraId="5CDB1F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2" w:type="dxa"/>
                  <w:tcBorders>
                    <w:tl2br w:val="nil"/>
                    <w:tr2bl w:val="nil"/>
                  </w:tcBorders>
                  <w:noWrap w:val="0"/>
                  <w:vAlign w:val="center"/>
                </w:tcPr>
                <w:p w14:paraId="0A1FF18C">
                  <w:pPr>
                    <w:pStyle w:val="25"/>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火灾、爆炸产生的伴生/次生污染</w:t>
                  </w:r>
                </w:p>
              </w:tc>
              <w:tc>
                <w:tcPr>
                  <w:tcW w:w="1252" w:type="dxa"/>
                  <w:tcBorders>
                    <w:tl2br w:val="nil"/>
                    <w:tr2bl w:val="nil"/>
                  </w:tcBorders>
                  <w:noWrap w:val="0"/>
                  <w:vAlign w:val="center"/>
                </w:tcPr>
                <w:p w14:paraId="456FE6D5">
                  <w:pPr>
                    <w:pStyle w:val="25"/>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火灾、爆炸</w:t>
                  </w:r>
                </w:p>
              </w:tc>
              <w:tc>
                <w:tcPr>
                  <w:tcW w:w="2680" w:type="dxa"/>
                  <w:tcBorders>
                    <w:tl2br w:val="nil"/>
                    <w:tr2bl w:val="nil"/>
                  </w:tcBorders>
                  <w:noWrap w:val="0"/>
                  <w:vAlign w:val="center"/>
                </w:tcPr>
                <w:p w14:paraId="36FDED1E">
                  <w:pPr>
                    <w:pStyle w:val="25"/>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消防废水通过雨水管网进入水环境</w:t>
                  </w:r>
                </w:p>
              </w:tc>
              <w:tc>
                <w:tcPr>
                  <w:tcW w:w="2437" w:type="dxa"/>
                  <w:tcBorders>
                    <w:tl2br w:val="nil"/>
                    <w:tr2bl w:val="nil"/>
                  </w:tcBorders>
                  <w:noWrap w:val="0"/>
                  <w:vAlign w:val="center"/>
                </w:tcPr>
                <w:p w14:paraId="0B142AEE">
                  <w:pPr>
                    <w:pStyle w:val="25"/>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通过周边雨水管道污染周边水体</w:t>
                  </w:r>
                </w:p>
              </w:tc>
            </w:tr>
            <w:tr w14:paraId="7B5AC3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2" w:type="dxa"/>
                  <w:tcBorders>
                    <w:tl2br w:val="nil"/>
                    <w:tr2bl w:val="nil"/>
                  </w:tcBorders>
                  <w:noWrap w:val="0"/>
                  <w:vAlign w:val="center"/>
                </w:tcPr>
                <w:p w14:paraId="31AFAA3E">
                  <w:pPr>
                    <w:pStyle w:val="25"/>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废气事故排放</w:t>
                  </w:r>
                </w:p>
              </w:tc>
              <w:tc>
                <w:tcPr>
                  <w:tcW w:w="1252" w:type="dxa"/>
                  <w:tcBorders>
                    <w:tl2br w:val="nil"/>
                    <w:tr2bl w:val="nil"/>
                  </w:tcBorders>
                  <w:noWrap w:val="0"/>
                  <w:vAlign w:val="center"/>
                </w:tcPr>
                <w:p w14:paraId="6D321D4E">
                  <w:pPr>
                    <w:pStyle w:val="25"/>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事故排放</w:t>
                  </w:r>
                </w:p>
              </w:tc>
              <w:tc>
                <w:tcPr>
                  <w:tcW w:w="2680" w:type="dxa"/>
                  <w:tcBorders>
                    <w:tl2br w:val="nil"/>
                    <w:tr2bl w:val="nil"/>
                  </w:tcBorders>
                  <w:noWrap w:val="0"/>
                  <w:vAlign w:val="center"/>
                </w:tcPr>
                <w:p w14:paraId="2BB35BE2">
                  <w:pPr>
                    <w:pStyle w:val="25"/>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lang w:val="en-US" w:eastAsia="zh-CN"/>
                    </w:rPr>
                    <w:t>颗粒物</w:t>
                  </w:r>
                  <w:r>
                    <w:rPr>
                      <w:rFonts w:hint="default"/>
                      <w:color w:val="auto"/>
                      <w:szCs w:val="24"/>
                      <w:highlight w:val="none"/>
                      <w:lang w:val="en-GB"/>
                    </w:rPr>
                    <w:t>未经处理直接排入大气</w:t>
                  </w:r>
                </w:p>
              </w:tc>
              <w:tc>
                <w:tcPr>
                  <w:tcW w:w="2437" w:type="dxa"/>
                  <w:tcBorders>
                    <w:tl2br w:val="nil"/>
                    <w:tr2bl w:val="nil"/>
                  </w:tcBorders>
                  <w:noWrap w:val="0"/>
                  <w:vAlign w:val="center"/>
                </w:tcPr>
                <w:p w14:paraId="0CA57B39">
                  <w:pPr>
                    <w:pStyle w:val="25"/>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废气污染物产生量不大，对大气环境影响不大</w:t>
                  </w:r>
                </w:p>
              </w:tc>
            </w:tr>
          </w:tbl>
          <w:p w14:paraId="619C6D29">
            <w:pPr>
              <w:keepNext w:val="0"/>
              <w:keepLines w:val="0"/>
              <w:suppressLineNumbers w:val="0"/>
              <w:spacing w:before="0" w:beforeAutospacing="0" w:after="0" w:afterAutospacing="0"/>
              <w:ind w:left="0" w:right="0"/>
              <w:rPr>
                <w:rFonts w:hint="default"/>
                <w:b/>
                <w:bCs/>
                <w:color w:val="auto"/>
                <w:highlight w:val="none"/>
              </w:rPr>
            </w:pPr>
            <w:r>
              <w:rPr>
                <w:rFonts w:hint="eastAsia"/>
                <w:b/>
                <w:bCs/>
                <w:color w:val="auto"/>
                <w:highlight w:val="none"/>
              </w:rPr>
              <w:t>4.7.3</w:t>
            </w:r>
            <w:r>
              <w:rPr>
                <w:rFonts w:hint="default"/>
                <w:b/>
                <w:bCs/>
                <w:color w:val="auto"/>
                <w:highlight w:val="none"/>
              </w:rPr>
              <w:t>环境风险防范措施及应急要求</w:t>
            </w:r>
          </w:p>
          <w:p w14:paraId="38823660">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为做到安全生产，使事故风险减小到最低限度，企业的生产管理部门应加强安全生产管理，制定完备、有效的安全防范措施，尽可能降低各项事故发生的概率。</w:t>
            </w:r>
          </w:p>
          <w:p w14:paraId="5BEAC402">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a安全管理制度</w:t>
            </w:r>
          </w:p>
          <w:p w14:paraId="61E5E1FC">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①制定安全生产责任制度和管理制度，明确规定员工上岗前的培训要求，上岗前的安全准备措施和工作中的安全要求，同时对</w:t>
            </w:r>
            <w:r>
              <w:rPr>
                <w:rFonts w:hint="eastAsia"/>
                <w:color w:val="auto"/>
                <w:szCs w:val="21"/>
                <w:highlight w:val="none"/>
              </w:rPr>
              <w:t>水性油墨</w:t>
            </w:r>
            <w:r>
              <w:rPr>
                <w:rFonts w:hint="default"/>
                <w:color w:val="auto"/>
                <w:szCs w:val="21"/>
                <w:highlight w:val="none"/>
              </w:rPr>
              <w:t>的使用、贮存、装卸等操作作出相应的规定。</w:t>
            </w:r>
          </w:p>
          <w:p w14:paraId="18B8C7DF">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②制定安全检查制度，定期或不定期地进行安全检查，并如实记录安全检查的结果，同时制定隐患整改和反馈制度，对检查出的安全隐患及时完成整改。</w:t>
            </w:r>
          </w:p>
          <w:p w14:paraId="2F55B487">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b火灾风险防范措施</w:t>
            </w:r>
          </w:p>
          <w:p w14:paraId="3FF54F22">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①预防措施：设置专职安全生产管理人员，经常检查，及时处理。</w:t>
            </w:r>
          </w:p>
          <w:p w14:paraId="7FFD2959">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②防护措施：车间禁止吸烟；定期进行消防知识培训，设置安全警示标识，配备若干灭火器和防护设施等。</w:t>
            </w:r>
          </w:p>
          <w:p w14:paraId="44D7DC23">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③应急处理：迅速撤离火灾污染区人员至上风处，并立即进行隔离，严格限制出入。应急处理人员戴自给正压式呼吸器。尽可能快用灭火器材进行灭火，根据火灾态势确定是否通知消防进行灭火。</w:t>
            </w:r>
          </w:p>
          <w:p w14:paraId="39CFDA37">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c其他风险防范措施</w:t>
            </w:r>
          </w:p>
          <w:p w14:paraId="5870D807">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做好处理设备的日常管理工作。对设备处理效果、运行状态定期检查并记录。</w:t>
            </w:r>
          </w:p>
          <w:p w14:paraId="00DEABEF">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①在生产车间外配备有消防水泵，车间内配有灭火器等火灾消防器材，配备有电气防护用品和防火、防毒的劳保用品，并有专人管理和维护。</w:t>
            </w:r>
          </w:p>
          <w:p w14:paraId="1583EDBE">
            <w:pPr>
              <w:keepNext w:val="0"/>
              <w:keepLines/>
              <w:suppressLineNumbers w:val="0"/>
              <w:spacing w:before="0" w:beforeAutospacing="0" w:after="0" w:afterAutospacing="0"/>
              <w:ind w:left="0" w:right="0" w:firstLine="420" w:firstLineChars="200"/>
              <w:rPr>
                <w:rFonts w:hint="default"/>
                <w:color w:val="auto"/>
                <w:szCs w:val="21"/>
                <w:highlight w:val="none"/>
              </w:rPr>
            </w:pPr>
            <w:r>
              <w:rPr>
                <w:rFonts w:hint="default"/>
                <w:color w:val="auto"/>
                <w:szCs w:val="21"/>
                <w:highlight w:val="none"/>
              </w:rPr>
              <w:t>②要求</w:t>
            </w:r>
            <w:r>
              <w:rPr>
                <w:rFonts w:hint="eastAsia"/>
                <w:color w:val="auto"/>
                <w:szCs w:val="21"/>
                <w:highlight w:val="none"/>
              </w:rPr>
              <w:t>原料</w:t>
            </w:r>
            <w:r>
              <w:rPr>
                <w:rFonts w:hint="default"/>
                <w:color w:val="auto"/>
                <w:szCs w:val="21"/>
                <w:highlight w:val="none"/>
              </w:rPr>
              <w:t>仓库配备良好的通风措施，配备灭火器等火灾消防器材，远离火源。</w:t>
            </w:r>
          </w:p>
          <w:p w14:paraId="52C4CA10">
            <w:pPr>
              <w:keepNext w:val="0"/>
              <w:keepLines/>
              <w:suppressLineNumbers w:val="0"/>
              <w:spacing w:before="0" w:beforeAutospacing="0" w:after="0" w:afterAutospacing="0"/>
              <w:ind w:left="0" w:right="0" w:firstLine="420" w:firstLineChars="200"/>
              <w:rPr>
                <w:rFonts w:hint="default"/>
                <w:color w:val="auto"/>
                <w:sz w:val="24"/>
                <w:highlight w:val="none"/>
              </w:rPr>
            </w:pPr>
            <w:r>
              <w:rPr>
                <w:rFonts w:hint="default"/>
                <w:color w:val="auto"/>
                <w:szCs w:val="21"/>
                <w:highlight w:val="none"/>
              </w:rPr>
              <w:t>③保持各集气风机的正产运行，以保证对废气的有效收集。</w:t>
            </w:r>
          </w:p>
          <w:p w14:paraId="4B466525">
            <w:pPr>
              <w:keepNext w:val="0"/>
              <w:keepLines w:val="0"/>
              <w:suppressLineNumbers w:val="0"/>
              <w:spacing w:before="0" w:beforeAutospacing="0" w:after="0" w:afterAutospacing="0"/>
              <w:ind w:left="0" w:right="0"/>
              <w:rPr>
                <w:rFonts w:hint="default"/>
                <w:b/>
                <w:bCs/>
                <w:color w:val="auto"/>
                <w:highlight w:val="none"/>
              </w:rPr>
            </w:pPr>
            <w:r>
              <w:rPr>
                <w:rFonts w:hint="eastAsia"/>
                <w:b/>
                <w:bCs/>
                <w:color w:val="auto"/>
                <w:highlight w:val="none"/>
              </w:rPr>
              <w:t>4.7.4</w:t>
            </w:r>
            <w:r>
              <w:rPr>
                <w:rFonts w:hint="default"/>
                <w:b/>
                <w:bCs/>
                <w:color w:val="auto"/>
                <w:highlight w:val="none"/>
              </w:rPr>
              <w:t>环境风险评价结论</w:t>
            </w:r>
          </w:p>
          <w:p w14:paraId="0BFF7CF3">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Times New Roman"/>
                <w:bCs/>
                <w:color w:val="000000"/>
                <w:spacing w:val="-10"/>
                <w:szCs w:val="21"/>
                <w:lang w:val="en-US" w:eastAsia="zh-CN"/>
              </w:rPr>
            </w:pPr>
            <w:r>
              <w:rPr>
                <w:rFonts w:hint="eastAsia" w:ascii="Times New Roman" w:hAnsi="Times New Roman" w:eastAsia="宋体" w:cs="Times New Roman"/>
                <w:color w:val="auto"/>
                <w:sz w:val="21"/>
                <w:szCs w:val="21"/>
                <w:lang w:val="en-US" w:eastAsia="zh-CN"/>
              </w:rPr>
              <w:t>采取严格的厂区防火管理、完善安全隐患管理制度，则事故发生概率很低，本项目环境风险在可接受的范围内。</w:t>
            </w:r>
          </w:p>
        </w:tc>
      </w:tr>
    </w:tbl>
    <w:p w14:paraId="7D0C7848">
      <w:pPr>
        <w:adjustRightInd w:val="0"/>
        <w:snapToGrid w:val="0"/>
        <w:spacing w:line="360" w:lineRule="auto"/>
        <w:rPr>
          <w:rFonts w:hint="eastAsia" w:ascii="宋体" w:cs="宋体"/>
          <w:b/>
          <w:color w:val="000000"/>
          <w:kern w:val="0"/>
          <w:sz w:val="28"/>
          <w:szCs w:val="28"/>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FC106E7">
      <w:pPr>
        <w:pStyle w:val="1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五、</w:t>
      </w:r>
      <w:bookmarkStart w:id="33" w:name="_Hlk54167917"/>
      <w:r>
        <w:rPr>
          <w:rFonts w:hint="eastAsia" w:ascii="黑体" w:hAnsi="黑体" w:eastAsia="黑体"/>
          <w:snapToGrid w:val="0"/>
          <w:color w:val="000000"/>
          <w:sz w:val="30"/>
          <w:szCs w:val="30"/>
        </w:rPr>
        <w:t>环境保护措施监督检查清单</w:t>
      </w:r>
      <w:bookmarkEnd w:id="33"/>
    </w:p>
    <w:tbl>
      <w:tblPr>
        <w:tblStyle w:val="20"/>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700"/>
        <w:gridCol w:w="1383"/>
        <w:gridCol w:w="1730"/>
        <w:gridCol w:w="2381"/>
      </w:tblGrid>
      <w:tr w14:paraId="7A0FE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tcBorders>
              <w:tl2br w:val="single" w:color="auto" w:sz="4" w:space="0"/>
            </w:tcBorders>
            <w:noWrap w:val="0"/>
            <w:vAlign w:val="top"/>
          </w:tcPr>
          <w:p w14:paraId="4E1AAF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840"/>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内容</w:t>
            </w:r>
          </w:p>
          <w:p w14:paraId="1A161C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要素</w:t>
            </w:r>
          </w:p>
        </w:tc>
        <w:tc>
          <w:tcPr>
            <w:tcW w:w="1700" w:type="dxa"/>
            <w:noWrap w:val="0"/>
            <w:vAlign w:val="center"/>
          </w:tcPr>
          <w:p w14:paraId="5087AB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排放口(编号、名称)/污染源</w:t>
            </w:r>
          </w:p>
        </w:tc>
        <w:tc>
          <w:tcPr>
            <w:tcW w:w="1383" w:type="dxa"/>
            <w:noWrap w:val="0"/>
            <w:vAlign w:val="center"/>
          </w:tcPr>
          <w:p w14:paraId="54CA73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污染物项目</w:t>
            </w:r>
          </w:p>
        </w:tc>
        <w:tc>
          <w:tcPr>
            <w:tcW w:w="1730" w:type="dxa"/>
            <w:noWrap w:val="0"/>
            <w:vAlign w:val="center"/>
          </w:tcPr>
          <w:p w14:paraId="3B5296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环境保护措施</w:t>
            </w:r>
          </w:p>
        </w:tc>
        <w:tc>
          <w:tcPr>
            <w:tcW w:w="2381" w:type="dxa"/>
            <w:noWrap w:val="0"/>
            <w:vAlign w:val="center"/>
          </w:tcPr>
          <w:p w14:paraId="5BB213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执行标准</w:t>
            </w:r>
          </w:p>
        </w:tc>
      </w:tr>
      <w:tr w14:paraId="0385B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06" w:type="dxa"/>
            <w:vMerge w:val="restart"/>
            <w:noWrap w:val="0"/>
            <w:vAlign w:val="center"/>
          </w:tcPr>
          <w:p w14:paraId="65400D86">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olor w:val="000000"/>
                <w:sz w:val="21"/>
                <w:szCs w:val="21"/>
                <w:lang w:val="en-US" w:eastAsia="zh-CN"/>
              </w:rPr>
              <w:t>大气环境</w:t>
            </w:r>
          </w:p>
        </w:tc>
        <w:tc>
          <w:tcPr>
            <w:tcW w:w="1700" w:type="dxa"/>
            <w:noWrap w:val="0"/>
            <w:vAlign w:val="center"/>
          </w:tcPr>
          <w:p w14:paraId="1B945E06">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DA001</w:t>
            </w:r>
          </w:p>
        </w:tc>
        <w:tc>
          <w:tcPr>
            <w:tcW w:w="1383" w:type="dxa"/>
            <w:vMerge w:val="restart"/>
            <w:noWrap w:val="0"/>
            <w:vAlign w:val="center"/>
          </w:tcPr>
          <w:p w14:paraId="770C998D">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颗粒物</w:t>
            </w:r>
          </w:p>
        </w:tc>
        <w:tc>
          <w:tcPr>
            <w:tcW w:w="1730" w:type="dxa"/>
            <w:noWrap w:val="0"/>
            <w:vAlign w:val="center"/>
          </w:tcPr>
          <w:p w14:paraId="14DDA670">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脉冲布袋除尘器+15m排气筒（DA001）</w:t>
            </w:r>
          </w:p>
        </w:tc>
        <w:tc>
          <w:tcPr>
            <w:tcW w:w="2381" w:type="dxa"/>
            <w:vMerge w:val="restart"/>
            <w:noWrap w:val="0"/>
            <w:vAlign w:val="center"/>
          </w:tcPr>
          <w:p w14:paraId="4985B1D0">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ascii="Times New Roman" w:hAnsi="Times New Roman" w:eastAsia="宋体" w:cs="宋体"/>
                <w:color w:val="000000"/>
                <w:sz w:val="21"/>
                <w:szCs w:val="21"/>
                <w:lang w:val="en-US" w:eastAsia="zh-CN"/>
              </w:rPr>
            </w:pPr>
            <w:r>
              <w:rPr>
                <w:rFonts w:hint="eastAsia" w:ascii="Times New Roman" w:hAnsi="Times New Roman" w:eastAsia="宋体" w:cs="宋体"/>
                <w:color w:val="000000"/>
                <w:sz w:val="21"/>
                <w:szCs w:val="21"/>
                <w:lang w:val="en-US" w:eastAsia="zh-CN"/>
              </w:rPr>
              <w:t>《大气污染物综合排放标准》（GB16297-1996）</w:t>
            </w:r>
          </w:p>
        </w:tc>
      </w:tr>
      <w:tr w14:paraId="3838C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06" w:type="dxa"/>
            <w:vMerge w:val="continue"/>
            <w:noWrap w:val="0"/>
            <w:vAlign w:val="center"/>
          </w:tcPr>
          <w:p w14:paraId="4663C57B">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olor w:val="000000"/>
                <w:sz w:val="21"/>
                <w:szCs w:val="21"/>
                <w:lang w:val="en-US" w:eastAsia="zh-CN"/>
              </w:rPr>
            </w:pPr>
          </w:p>
        </w:tc>
        <w:tc>
          <w:tcPr>
            <w:tcW w:w="1700" w:type="dxa"/>
            <w:noWrap w:val="0"/>
            <w:vAlign w:val="center"/>
          </w:tcPr>
          <w:p w14:paraId="7366F29E">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DA002</w:t>
            </w:r>
          </w:p>
        </w:tc>
        <w:tc>
          <w:tcPr>
            <w:tcW w:w="1383" w:type="dxa"/>
            <w:vMerge w:val="continue"/>
            <w:noWrap w:val="0"/>
            <w:vAlign w:val="center"/>
          </w:tcPr>
          <w:p w14:paraId="2F46A69F">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s="Times New Roman"/>
                <w:color w:val="000000"/>
                <w:sz w:val="21"/>
                <w:szCs w:val="21"/>
                <w:lang w:val="en-US" w:eastAsia="zh-CN"/>
              </w:rPr>
            </w:pPr>
          </w:p>
        </w:tc>
        <w:tc>
          <w:tcPr>
            <w:tcW w:w="1730" w:type="dxa"/>
            <w:noWrap w:val="0"/>
            <w:vAlign w:val="center"/>
          </w:tcPr>
          <w:p w14:paraId="4518E293">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脉冲布袋除尘器+15m排气筒（DA002）</w:t>
            </w:r>
          </w:p>
        </w:tc>
        <w:tc>
          <w:tcPr>
            <w:tcW w:w="2381" w:type="dxa"/>
            <w:vMerge w:val="continue"/>
            <w:noWrap w:val="0"/>
            <w:vAlign w:val="center"/>
          </w:tcPr>
          <w:p w14:paraId="3B59C68B">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ascii="Times New Roman" w:hAnsi="Times New Roman" w:eastAsia="宋体" w:cs="宋体"/>
                <w:color w:val="000000"/>
                <w:sz w:val="21"/>
                <w:szCs w:val="21"/>
                <w:lang w:val="en-US" w:eastAsia="zh-CN"/>
              </w:rPr>
            </w:pPr>
          </w:p>
        </w:tc>
      </w:tr>
      <w:tr w14:paraId="345E3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06" w:type="dxa"/>
            <w:vMerge w:val="continue"/>
            <w:noWrap w:val="0"/>
            <w:vAlign w:val="center"/>
          </w:tcPr>
          <w:p w14:paraId="05361B3A">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olor w:val="000000"/>
                <w:sz w:val="21"/>
                <w:szCs w:val="21"/>
                <w:lang w:val="en-US" w:eastAsia="zh-CN"/>
              </w:rPr>
            </w:pPr>
          </w:p>
        </w:tc>
        <w:tc>
          <w:tcPr>
            <w:tcW w:w="1700" w:type="dxa"/>
            <w:noWrap w:val="0"/>
            <w:vAlign w:val="center"/>
          </w:tcPr>
          <w:p w14:paraId="02372315">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DA003</w:t>
            </w:r>
          </w:p>
        </w:tc>
        <w:tc>
          <w:tcPr>
            <w:tcW w:w="1383" w:type="dxa"/>
            <w:vMerge w:val="continue"/>
            <w:noWrap w:val="0"/>
            <w:vAlign w:val="center"/>
          </w:tcPr>
          <w:p w14:paraId="6A456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p>
        </w:tc>
        <w:tc>
          <w:tcPr>
            <w:tcW w:w="1730" w:type="dxa"/>
            <w:noWrap w:val="0"/>
            <w:vAlign w:val="center"/>
          </w:tcPr>
          <w:p w14:paraId="4C83B1D3">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脉冲布袋除尘器+15m排气筒（DA003）</w:t>
            </w:r>
          </w:p>
        </w:tc>
        <w:tc>
          <w:tcPr>
            <w:tcW w:w="2381" w:type="dxa"/>
            <w:vMerge w:val="continue"/>
            <w:noWrap w:val="0"/>
            <w:vAlign w:val="center"/>
          </w:tcPr>
          <w:p w14:paraId="431A0A4B">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ascii="Times New Roman" w:hAnsi="Times New Roman" w:eastAsia="宋体" w:cs="宋体"/>
                <w:color w:val="000000"/>
                <w:sz w:val="21"/>
                <w:szCs w:val="21"/>
                <w:lang w:val="en-US" w:eastAsia="zh-CN"/>
              </w:rPr>
            </w:pPr>
          </w:p>
        </w:tc>
      </w:tr>
      <w:tr w14:paraId="507C0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06" w:type="dxa"/>
            <w:vMerge w:val="continue"/>
            <w:noWrap w:val="0"/>
            <w:vAlign w:val="center"/>
          </w:tcPr>
          <w:p w14:paraId="0D470441">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olor w:val="000000"/>
                <w:sz w:val="21"/>
                <w:szCs w:val="21"/>
                <w:lang w:val="en-US" w:eastAsia="zh-CN"/>
              </w:rPr>
            </w:pPr>
          </w:p>
        </w:tc>
        <w:tc>
          <w:tcPr>
            <w:tcW w:w="1700" w:type="dxa"/>
            <w:noWrap w:val="0"/>
            <w:vAlign w:val="center"/>
          </w:tcPr>
          <w:p w14:paraId="2376581C">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DA004</w:t>
            </w:r>
          </w:p>
        </w:tc>
        <w:tc>
          <w:tcPr>
            <w:tcW w:w="1383" w:type="dxa"/>
            <w:vMerge w:val="continue"/>
            <w:noWrap w:val="0"/>
            <w:vAlign w:val="center"/>
          </w:tcPr>
          <w:p w14:paraId="7F382390">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ascii="Times New Roman" w:hAnsi="Times New Roman" w:cs="Times New Roman"/>
                <w:color w:val="000000"/>
                <w:sz w:val="21"/>
                <w:szCs w:val="21"/>
                <w:lang w:val="en-US" w:eastAsia="zh-CN"/>
              </w:rPr>
            </w:pPr>
          </w:p>
        </w:tc>
        <w:tc>
          <w:tcPr>
            <w:tcW w:w="1730" w:type="dxa"/>
            <w:noWrap w:val="0"/>
            <w:vAlign w:val="center"/>
          </w:tcPr>
          <w:p w14:paraId="5CA2D904">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脉冲布袋除尘器+15m排气筒（DA004）</w:t>
            </w:r>
          </w:p>
        </w:tc>
        <w:tc>
          <w:tcPr>
            <w:tcW w:w="2381" w:type="dxa"/>
            <w:vMerge w:val="continue"/>
            <w:noWrap w:val="0"/>
            <w:vAlign w:val="center"/>
          </w:tcPr>
          <w:p w14:paraId="2D2284A4">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ascii="Times New Roman" w:hAnsi="Times New Roman" w:eastAsia="宋体" w:cs="宋体"/>
                <w:color w:val="000000"/>
                <w:sz w:val="21"/>
                <w:szCs w:val="21"/>
                <w:lang w:val="en-US" w:eastAsia="zh-CN"/>
              </w:rPr>
            </w:pPr>
          </w:p>
        </w:tc>
      </w:tr>
      <w:tr w14:paraId="5E86C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06" w:type="dxa"/>
            <w:vMerge w:val="continue"/>
            <w:noWrap w:val="0"/>
            <w:vAlign w:val="center"/>
          </w:tcPr>
          <w:p w14:paraId="75C9D7B5">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olor w:val="000000"/>
                <w:sz w:val="21"/>
                <w:szCs w:val="21"/>
                <w:lang w:val="en-US" w:eastAsia="zh-CN"/>
              </w:rPr>
            </w:pPr>
          </w:p>
        </w:tc>
        <w:tc>
          <w:tcPr>
            <w:tcW w:w="1700" w:type="dxa"/>
            <w:noWrap w:val="0"/>
            <w:vAlign w:val="center"/>
          </w:tcPr>
          <w:p w14:paraId="3B414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DA005</w:t>
            </w:r>
          </w:p>
        </w:tc>
        <w:tc>
          <w:tcPr>
            <w:tcW w:w="1383" w:type="dxa"/>
            <w:vMerge w:val="continue"/>
            <w:noWrap w:val="0"/>
            <w:vAlign w:val="center"/>
          </w:tcPr>
          <w:p w14:paraId="4305B034">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ascii="Times New Roman" w:hAnsi="Times New Roman" w:cs="Times New Roman"/>
                <w:color w:val="000000"/>
                <w:sz w:val="21"/>
                <w:szCs w:val="21"/>
                <w:lang w:val="en-US" w:eastAsia="zh-CN"/>
              </w:rPr>
            </w:pPr>
          </w:p>
        </w:tc>
        <w:tc>
          <w:tcPr>
            <w:tcW w:w="1730" w:type="dxa"/>
            <w:noWrap w:val="0"/>
            <w:vAlign w:val="center"/>
          </w:tcPr>
          <w:p w14:paraId="21E12999">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脉冲布袋除尘器+15m排气筒（DA005）</w:t>
            </w:r>
          </w:p>
        </w:tc>
        <w:tc>
          <w:tcPr>
            <w:tcW w:w="2381" w:type="dxa"/>
            <w:vMerge w:val="continue"/>
            <w:noWrap w:val="0"/>
            <w:vAlign w:val="center"/>
          </w:tcPr>
          <w:p w14:paraId="47A52D1C">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ascii="Times New Roman" w:hAnsi="Times New Roman" w:eastAsia="宋体" w:cs="宋体"/>
                <w:color w:val="000000"/>
                <w:sz w:val="21"/>
                <w:szCs w:val="21"/>
                <w:lang w:val="en-US" w:eastAsia="zh-CN"/>
              </w:rPr>
            </w:pPr>
          </w:p>
        </w:tc>
      </w:tr>
      <w:tr w14:paraId="7E53B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06" w:type="dxa"/>
            <w:vMerge w:val="continue"/>
            <w:noWrap w:val="0"/>
            <w:vAlign w:val="center"/>
          </w:tcPr>
          <w:p w14:paraId="37E30E1A">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olor w:val="000000"/>
                <w:sz w:val="21"/>
                <w:szCs w:val="21"/>
                <w:lang w:val="en-US" w:eastAsia="zh-CN"/>
              </w:rPr>
            </w:pPr>
          </w:p>
        </w:tc>
        <w:tc>
          <w:tcPr>
            <w:tcW w:w="1700" w:type="dxa"/>
            <w:noWrap w:val="0"/>
            <w:vAlign w:val="center"/>
          </w:tcPr>
          <w:p w14:paraId="08EEA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DA006</w:t>
            </w:r>
          </w:p>
        </w:tc>
        <w:tc>
          <w:tcPr>
            <w:tcW w:w="1383" w:type="dxa"/>
            <w:vMerge w:val="continue"/>
            <w:noWrap w:val="0"/>
            <w:vAlign w:val="center"/>
          </w:tcPr>
          <w:p w14:paraId="4AE52FCF">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ascii="Times New Roman" w:hAnsi="Times New Roman" w:cs="Times New Roman"/>
                <w:color w:val="000000"/>
                <w:sz w:val="21"/>
                <w:szCs w:val="21"/>
                <w:lang w:val="en-US" w:eastAsia="zh-CN"/>
              </w:rPr>
            </w:pPr>
          </w:p>
        </w:tc>
        <w:tc>
          <w:tcPr>
            <w:tcW w:w="1730" w:type="dxa"/>
            <w:noWrap w:val="0"/>
            <w:vAlign w:val="center"/>
          </w:tcPr>
          <w:p w14:paraId="7F12E39E">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脉冲布袋除尘器+15m排气筒（DA006）</w:t>
            </w:r>
          </w:p>
        </w:tc>
        <w:tc>
          <w:tcPr>
            <w:tcW w:w="2381" w:type="dxa"/>
            <w:vMerge w:val="continue"/>
            <w:noWrap w:val="0"/>
            <w:vAlign w:val="center"/>
          </w:tcPr>
          <w:p w14:paraId="3957589B">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ascii="Times New Roman" w:hAnsi="Times New Roman" w:eastAsia="宋体" w:cs="宋体"/>
                <w:color w:val="000000"/>
                <w:sz w:val="21"/>
                <w:szCs w:val="21"/>
                <w:lang w:val="en-US" w:eastAsia="zh-CN"/>
              </w:rPr>
            </w:pPr>
          </w:p>
        </w:tc>
      </w:tr>
      <w:tr w14:paraId="62735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06" w:type="dxa"/>
            <w:vMerge w:val="continue"/>
            <w:noWrap w:val="0"/>
            <w:vAlign w:val="center"/>
          </w:tcPr>
          <w:p w14:paraId="6EE69E41">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olor w:val="000000"/>
                <w:sz w:val="21"/>
                <w:szCs w:val="21"/>
                <w:lang w:val="en-US" w:eastAsia="zh-CN"/>
              </w:rPr>
            </w:pPr>
          </w:p>
        </w:tc>
        <w:tc>
          <w:tcPr>
            <w:tcW w:w="1700" w:type="dxa"/>
            <w:noWrap w:val="0"/>
            <w:vAlign w:val="center"/>
          </w:tcPr>
          <w:p w14:paraId="4F73C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DA007</w:t>
            </w:r>
          </w:p>
        </w:tc>
        <w:tc>
          <w:tcPr>
            <w:tcW w:w="1383" w:type="dxa"/>
            <w:vMerge w:val="continue"/>
            <w:noWrap w:val="0"/>
            <w:vAlign w:val="center"/>
          </w:tcPr>
          <w:p w14:paraId="6DC4E99F">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p>
        </w:tc>
        <w:tc>
          <w:tcPr>
            <w:tcW w:w="1730" w:type="dxa"/>
            <w:noWrap w:val="0"/>
            <w:vAlign w:val="center"/>
          </w:tcPr>
          <w:p w14:paraId="7EFCFD00">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脉冲布袋除尘器+15m排气筒（DA007）</w:t>
            </w:r>
          </w:p>
        </w:tc>
        <w:tc>
          <w:tcPr>
            <w:tcW w:w="2381" w:type="dxa"/>
            <w:vMerge w:val="continue"/>
            <w:noWrap w:val="0"/>
            <w:vAlign w:val="center"/>
          </w:tcPr>
          <w:p w14:paraId="204E07A9">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ascii="Times New Roman" w:hAnsi="Times New Roman" w:eastAsia="宋体" w:cs="宋体"/>
                <w:color w:val="000000"/>
                <w:sz w:val="21"/>
                <w:szCs w:val="21"/>
                <w:lang w:val="en-US" w:eastAsia="zh-CN"/>
              </w:rPr>
            </w:pPr>
          </w:p>
        </w:tc>
      </w:tr>
      <w:tr w14:paraId="10849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06" w:type="dxa"/>
            <w:vMerge w:val="continue"/>
            <w:noWrap w:val="0"/>
            <w:vAlign w:val="center"/>
          </w:tcPr>
          <w:p w14:paraId="7FB2197B">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olor w:val="000000"/>
                <w:sz w:val="21"/>
                <w:szCs w:val="21"/>
                <w:lang w:val="en-US" w:eastAsia="zh-CN"/>
              </w:rPr>
            </w:pPr>
          </w:p>
        </w:tc>
        <w:tc>
          <w:tcPr>
            <w:tcW w:w="1700" w:type="dxa"/>
            <w:noWrap w:val="0"/>
            <w:vAlign w:val="center"/>
          </w:tcPr>
          <w:p w14:paraId="5FC150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DA008</w:t>
            </w:r>
          </w:p>
        </w:tc>
        <w:tc>
          <w:tcPr>
            <w:tcW w:w="1383" w:type="dxa"/>
            <w:vMerge w:val="continue"/>
            <w:noWrap w:val="0"/>
            <w:vAlign w:val="center"/>
          </w:tcPr>
          <w:p w14:paraId="622C6A5E">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ascii="Times New Roman" w:hAnsi="Times New Roman" w:cs="Times New Roman"/>
                <w:color w:val="000000"/>
                <w:sz w:val="21"/>
                <w:szCs w:val="21"/>
                <w:lang w:val="en-US" w:eastAsia="zh-CN"/>
              </w:rPr>
            </w:pPr>
          </w:p>
        </w:tc>
        <w:tc>
          <w:tcPr>
            <w:tcW w:w="1730" w:type="dxa"/>
            <w:noWrap w:val="0"/>
            <w:vAlign w:val="center"/>
          </w:tcPr>
          <w:p w14:paraId="640546A1">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脉冲布袋除尘器+15m排气筒（DA008）</w:t>
            </w:r>
          </w:p>
        </w:tc>
        <w:tc>
          <w:tcPr>
            <w:tcW w:w="2381" w:type="dxa"/>
            <w:vMerge w:val="continue"/>
            <w:noWrap w:val="0"/>
            <w:vAlign w:val="center"/>
          </w:tcPr>
          <w:p w14:paraId="5C743788">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eastAsia" w:ascii="Times New Roman" w:hAnsi="Times New Roman" w:eastAsia="宋体" w:cs="宋体"/>
                <w:color w:val="000000"/>
                <w:sz w:val="21"/>
                <w:szCs w:val="21"/>
                <w:lang w:val="en-US" w:eastAsia="zh-CN"/>
              </w:rPr>
            </w:pPr>
          </w:p>
        </w:tc>
      </w:tr>
      <w:tr w14:paraId="7AB58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06" w:type="dxa"/>
            <w:vMerge w:val="continue"/>
            <w:noWrap w:val="0"/>
            <w:vAlign w:val="center"/>
          </w:tcPr>
          <w:p w14:paraId="54A47374">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ascii="Times New Roman" w:hAnsi="Times New Roman" w:eastAsia="宋体" w:cs="Times New Roman"/>
                <w:color w:val="000000"/>
                <w:sz w:val="21"/>
                <w:szCs w:val="21"/>
                <w:lang w:val="en-US" w:eastAsia="zh-CN"/>
              </w:rPr>
            </w:pPr>
          </w:p>
        </w:tc>
        <w:tc>
          <w:tcPr>
            <w:tcW w:w="1700" w:type="dxa"/>
            <w:noWrap w:val="0"/>
            <w:vAlign w:val="center"/>
          </w:tcPr>
          <w:p w14:paraId="79D424D2">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厂界</w:t>
            </w:r>
          </w:p>
        </w:tc>
        <w:tc>
          <w:tcPr>
            <w:tcW w:w="1383" w:type="dxa"/>
            <w:noWrap w:val="0"/>
            <w:vAlign w:val="center"/>
          </w:tcPr>
          <w:p w14:paraId="70B1CB69">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颗粒物</w:t>
            </w:r>
          </w:p>
        </w:tc>
        <w:tc>
          <w:tcPr>
            <w:tcW w:w="1730" w:type="dxa"/>
            <w:noWrap w:val="0"/>
            <w:vAlign w:val="center"/>
          </w:tcPr>
          <w:p w14:paraId="442E811D">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cs="Times New Roman"/>
                <w:color w:val="000000"/>
                <w:sz w:val="21"/>
                <w:szCs w:val="21"/>
                <w:lang w:val="en-US" w:eastAsia="zh-CN"/>
              </w:rPr>
            </w:pPr>
            <w:r>
              <w:rPr>
                <w:rFonts w:hint="eastAsia" w:cs="Times New Roman"/>
                <w:color w:val="000000"/>
                <w:sz w:val="21"/>
                <w:szCs w:val="21"/>
                <w:lang w:val="en-US" w:eastAsia="zh-CN"/>
              </w:rPr>
              <w:t>/</w:t>
            </w:r>
          </w:p>
        </w:tc>
        <w:tc>
          <w:tcPr>
            <w:tcW w:w="2381" w:type="dxa"/>
            <w:noWrap w:val="0"/>
            <w:vAlign w:val="center"/>
          </w:tcPr>
          <w:p w14:paraId="7E447A87">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line="240" w:lineRule="auto"/>
              <w:ind w:left="0" w:leftChars="0" w:right="0" w:firstLine="0" w:firstLineChars="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eastAsia="宋体" w:cs="宋体"/>
                <w:color w:val="000000"/>
                <w:sz w:val="21"/>
                <w:szCs w:val="21"/>
                <w:lang w:val="en-US" w:eastAsia="zh-CN"/>
              </w:rPr>
              <w:t>《大气污染物综合排放标准》（GB16297-1996）</w:t>
            </w:r>
          </w:p>
        </w:tc>
      </w:tr>
      <w:tr w14:paraId="4952C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606" w:type="dxa"/>
            <w:noWrap w:val="0"/>
            <w:vAlign w:val="center"/>
          </w:tcPr>
          <w:p w14:paraId="7AC728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地表水环境</w:t>
            </w:r>
          </w:p>
        </w:tc>
        <w:tc>
          <w:tcPr>
            <w:tcW w:w="1700" w:type="dxa"/>
            <w:noWrap w:val="0"/>
            <w:vAlign w:val="center"/>
          </w:tcPr>
          <w:p w14:paraId="646684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DW001</w:t>
            </w:r>
          </w:p>
          <w:p w14:paraId="709A46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（生活污水）</w:t>
            </w:r>
          </w:p>
        </w:tc>
        <w:tc>
          <w:tcPr>
            <w:tcW w:w="1383" w:type="dxa"/>
            <w:noWrap w:val="0"/>
            <w:vAlign w:val="center"/>
          </w:tcPr>
          <w:p w14:paraId="11A429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pH、</w:t>
            </w:r>
            <w:r>
              <w:rPr>
                <w:rFonts w:hint="default" w:ascii="Times New Roman" w:hAnsi="Times New Roman" w:eastAsia="宋体" w:cs="Times New Roman"/>
                <w:color w:val="000000"/>
                <w:sz w:val="21"/>
                <w:szCs w:val="21"/>
              </w:rPr>
              <w:t>COD、BOD</w:t>
            </w:r>
            <w:r>
              <w:rPr>
                <w:rFonts w:hint="default" w:ascii="Times New Roman" w:hAnsi="Times New Roman" w:eastAsia="宋体" w:cs="Times New Roman"/>
                <w:color w:val="000000"/>
                <w:sz w:val="21"/>
                <w:szCs w:val="21"/>
                <w:vertAlign w:val="subscript"/>
              </w:rPr>
              <w:t>5</w:t>
            </w:r>
            <w:r>
              <w:rPr>
                <w:rFonts w:hint="default" w:ascii="Times New Roman" w:hAnsi="Times New Roman" w:eastAsia="宋体" w:cs="Times New Roman"/>
                <w:color w:val="000000"/>
                <w:sz w:val="21"/>
                <w:szCs w:val="21"/>
              </w:rPr>
              <w:t>、NH</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-N、SS</w:t>
            </w:r>
            <w:r>
              <w:rPr>
                <w:rFonts w:hint="eastAsia" w:cs="Times New Roman"/>
                <w:color w:val="000000"/>
                <w:sz w:val="21"/>
                <w:szCs w:val="21"/>
                <w:lang w:eastAsia="zh-CN"/>
              </w:rPr>
              <w:t>、</w:t>
            </w:r>
            <w:r>
              <w:rPr>
                <w:rFonts w:hint="eastAsia" w:cs="Times New Roman"/>
                <w:color w:val="000000"/>
                <w:sz w:val="21"/>
                <w:szCs w:val="21"/>
                <w:lang w:val="en-US" w:eastAsia="zh-CN"/>
              </w:rPr>
              <w:t>TN</w:t>
            </w:r>
          </w:p>
        </w:tc>
        <w:tc>
          <w:tcPr>
            <w:tcW w:w="1730" w:type="dxa"/>
            <w:noWrap w:val="0"/>
            <w:vAlign w:val="center"/>
          </w:tcPr>
          <w:p w14:paraId="436942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化粪池</w:t>
            </w:r>
          </w:p>
        </w:tc>
        <w:tc>
          <w:tcPr>
            <w:tcW w:w="2381" w:type="dxa"/>
            <w:noWrap w:val="0"/>
            <w:vAlign w:val="center"/>
          </w:tcPr>
          <w:p w14:paraId="58F130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eastAsia="宋体" w:cs="Times New Roman"/>
                <w:color w:val="000000"/>
                <w:sz w:val="21"/>
                <w:szCs w:val="21"/>
              </w:rPr>
              <w:t>《污水综合排放标准》（GB8978-1996）表4三级标准</w:t>
            </w:r>
            <w:r>
              <w:rPr>
                <w:rFonts w:hint="eastAsia" w:cs="Times New Roman"/>
                <w:color w:val="000000"/>
                <w:sz w:val="21"/>
                <w:szCs w:val="21"/>
                <w:lang w:eastAsia="zh-CN"/>
              </w:rPr>
              <w:t>、</w:t>
            </w:r>
            <w:r>
              <w:rPr>
                <w:rFonts w:hint="default" w:ascii="Times New Roman" w:hAnsi="Times New Roman" w:eastAsia="宋体" w:cs="Times New Roman"/>
                <w:snapToGrid w:val="0"/>
                <w:color w:val="000000"/>
                <w:sz w:val="21"/>
                <w:szCs w:val="21"/>
              </w:rPr>
              <w:t>《污水排入城镇下水道水质标准》（GB/T31962-2015）表1中</w:t>
            </w:r>
            <w:r>
              <w:rPr>
                <w:rFonts w:hint="eastAsia" w:cs="Times New Roman"/>
                <w:snapToGrid w:val="0"/>
                <w:color w:val="000000"/>
                <w:sz w:val="21"/>
                <w:szCs w:val="21"/>
                <w:lang w:val="en-US" w:eastAsia="zh-CN"/>
              </w:rPr>
              <w:t>B</w:t>
            </w:r>
            <w:r>
              <w:rPr>
                <w:rFonts w:hint="default" w:ascii="Times New Roman" w:hAnsi="Times New Roman" w:eastAsia="宋体" w:cs="Times New Roman"/>
                <w:snapToGrid w:val="0"/>
                <w:color w:val="000000"/>
                <w:sz w:val="21"/>
                <w:szCs w:val="21"/>
              </w:rPr>
              <w:t>级标准</w:t>
            </w:r>
          </w:p>
        </w:tc>
      </w:tr>
      <w:tr w14:paraId="29670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vMerge w:val="restart"/>
            <w:noWrap w:val="0"/>
            <w:vAlign w:val="center"/>
          </w:tcPr>
          <w:p w14:paraId="76465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声环境</w:t>
            </w:r>
          </w:p>
        </w:tc>
        <w:tc>
          <w:tcPr>
            <w:tcW w:w="1700" w:type="dxa"/>
            <w:noWrap w:val="0"/>
            <w:vAlign w:val="center"/>
          </w:tcPr>
          <w:p w14:paraId="33A4135C">
            <w:pPr>
              <w:keepNext w:val="0"/>
              <w:keepLines w:val="0"/>
              <w:suppressLineNumbers w:val="0"/>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厂界北侧</w:t>
            </w:r>
          </w:p>
        </w:tc>
        <w:tc>
          <w:tcPr>
            <w:tcW w:w="1383" w:type="dxa"/>
            <w:noWrap w:val="0"/>
            <w:vAlign w:val="center"/>
          </w:tcPr>
          <w:p w14:paraId="6AC1A3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eastAsia="宋体" w:cs="Times New Roman"/>
                <w:color w:val="000000"/>
                <w:sz w:val="21"/>
                <w:szCs w:val="21"/>
                <w:lang w:val="en-US" w:eastAsia="zh-CN" w:bidi="ar-SA"/>
              </w:rPr>
              <w:t>L</w:t>
            </w:r>
            <w:r>
              <w:rPr>
                <w:rFonts w:hint="default" w:ascii="Times New Roman" w:hAnsi="Times New Roman" w:eastAsia="宋体" w:cs="Times New Roman"/>
                <w:color w:val="000000"/>
                <w:sz w:val="21"/>
                <w:szCs w:val="21"/>
                <w:vertAlign w:val="subscript"/>
                <w:lang w:val="en-US" w:eastAsia="zh-CN" w:bidi="ar-SA"/>
              </w:rPr>
              <w:t>eq</w:t>
            </w:r>
          </w:p>
        </w:tc>
        <w:tc>
          <w:tcPr>
            <w:tcW w:w="1730" w:type="dxa"/>
            <w:noWrap w:val="0"/>
            <w:vAlign w:val="center"/>
          </w:tcPr>
          <w:p w14:paraId="36D252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隔声减震降噪</w:t>
            </w:r>
          </w:p>
        </w:tc>
        <w:tc>
          <w:tcPr>
            <w:tcW w:w="2381" w:type="dxa"/>
            <w:vMerge w:val="restart"/>
            <w:noWrap w:val="0"/>
            <w:vAlign w:val="center"/>
          </w:tcPr>
          <w:p w14:paraId="545E37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eastAsia="宋体" w:cs="Times New Roman"/>
                <w:color w:val="000000"/>
                <w:sz w:val="21"/>
                <w:szCs w:val="21"/>
              </w:rPr>
              <w:t>《工业企业厂界环境噪声排放标准》（GB12348-2008）</w:t>
            </w:r>
            <w:r>
              <w:rPr>
                <w:rFonts w:hint="eastAsia" w:cs="Times New Roman"/>
                <w:color w:val="000000"/>
                <w:sz w:val="21"/>
                <w:szCs w:val="21"/>
                <w:lang w:val="en-US" w:eastAsia="zh-CN"/>
              </w:rPr>
              <w:t>3</w:t>
            </w:r>
            <w:r>
              <w:rPr>
                <w:rFonts w:hint="default" w:ascii="Times New Roman" w:hAnsi="Times New Roman" w:eastAsia="宋体" w:cs="Times New Roman"/>
                <w:color w:val="000000"/>
                <w:sz w:val="21"/>
                <w:szCs w:val="21"/>
                <w:lang w:eastAsia="zh-CN"/>
              </w:rPr>
              <w:t>类</w:t>
            </w:r>
            <w:r>
              <w:rPr>
                <w:rFonts w:hint="default" w:ascii="Times New Roman" w:hAnsi="Times New Roman" w:eastAsia="宋体" w:cs="Times New Roman"/>
                <w:color w:val="000000"/>
                <w:sz w:val="21"/>
                <w:szCs w:val="21"/>
              </w:rPr>
              <w:t>标准</w:t>
            </w:r>
          </w:p>
        </w:tc>
      </w:tr>
      <w:tr w14:paraId="2910C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vMerge w:val="continue"/>
            <w:noWrap w:val="0"/>
            <w:vAlign w:val="center"/>
          </w:tcPr>
          <w:p w14:paraId="5D1873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c>
          <w:tcPr>
            <w:tcW w:w="1700" w:type="dxa"/>
            <w:noWrap w:val="0"/>
            <w:vAlign w:val="center"/>
          </w:tcPr>
          <w:p w14:paraId="5C778BBE">
            <w:pPr>
              <w:keepNext w:val="0"/>
              <w:keepLines w:val="0"/>
              <w:suppressLineNumbers w:val="0"/>
              <w:bidi w:val="0"/>
              <w:spacing w:before="0" w:beforeAutospacing="0" w:after="0" w:afterAutospacing="0" w:line="240" w:lineRule="auto"/>
              <w:ind w:left="0" w:leftChars="0" w:right="0" w:rightChars="0"/>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厂界南侧</w:t>
            </w:r>
          </w:p>
        </w:tc>
        <w:tc>
          <w:tcPr>
            <w:tcW w:w="1383" w:type="dxa"/>
            <w:noWrap w:val="0"/>
            <w:vAlign w:val="center"/>
          </w:tcPr>
          <w:p w14:paraId="026EA3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L</w:t>
            </w:r>
            <w:r>
              <w:rPr>
                <w:rFonts w:hint="default" w:ascii="Times New Roman" w:hAnsi="Times New Roman" w:eastAsia="宋体" w:cs="Times New Roman"/>
                <w:color w:val="000000"/>
                <w:sz w:val="21"/>
                <w:szCs w:val="21"/>
                <w:vertAlign w:val="subscript"/>
                <w:lang w:val="en-US" w:eastAsia="zh-CN" w:bidi="ar-SA"/>
              </w:rPr>
              <w:t>eq</w:t>
            </w:r>
          </w:p>
        </w:tc>
        <w:tc>
          <w:tcPr>
            <w:tcW w:w="1730" w:type="dxa"/>
            <w:noWrap w:val="0"/>
            <w:vAlign w:val="center"/>
          </w:tcPr>
          <w:p w14:paraId="6F3F6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隔声减震降噪</w:t>
            </w:r>
          </w:p>
        </w:tc>
        <w:tc>
          <w:tcPr>
            <w:tcW w:w="2381" w:type="dxa"/>
            <w:vMerge w:val="continue"/>
            <w:noWrap w:val="0"/>
            <w:vAlign w:val="center"/>
          </w:tcPr>
          <w:p w14:paraId="71F61A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r>
      <w:tr w14:paraId="23C81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vMerge w:val="continue"/>
            <w:noWrap w:val="0"/>
            <w:vAlign w:val="center"/>
          </w:tcPr>
          <w:p w14:paraId="7BBAD3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c>
          <w:tcPr>
            <w:tcW w:w="1700" w:type="dxa"/>
            <w:noWrap w:val="0"/>
            <w:vAlign w:val="center"/>
          </w:tcPr>
          <w:p w14:paraId="2344A3C7">
            <w:pPr>
              <w:keepNext w:val="0"/>
              <w:keepLines w:val="0"/>
              <w:suppressLineNumbers w:val="0"/>
              <w:bidi w:val="0"/>
              <w:spacing w:before="0" w:beforeAutospacing="0" w:after="0" w:afterAutospacing="0" w:line="240" w:lineRule="auto"/>
              <w:ind w:left="0" w:leftChars="0" w:right="0" w:rightChars="0"/>
              <w:jc w:val="center"/>
              <w:rPr>
                <w:rFonts w:hint="eastAsia" w:eastAsia="宋体" w:cs="Times New Roman"/>
                <w:color w:val="000000"/>
                <w:sz w:val="21"/>
                <w:szCs w:val="21"/>
                <w:lang w:val="en-US" w:eastAsia="zh-CN"/>
              </w:rPr>
            </w:pPr>
            <w:r>
              <w:rPr>
                <w:rFonts w:hint="eastAsia" w:cs="Times New Roman"/>
                <w:color w:val="000000"/>
                <w:sz w:val="21"/>
                <w:szCs w:val="21"/>
                <w:lang w:val="en-US" w:eastAsia="zh-CN"/>
              </w:rPr>
              <w:t>学校</w:t>
            </w:r>
            <w:r>
              <w:rPr>
                <w:rFonts w:hint="eastAsia"/>
                <w:lang w:eastAsia="zh-CN"/>
              </w:rPr>
              <w:t>（</w:t>
            </w:r>
            <w:r>
              <w:rPr>
                <w:rFonts w:hint="eastAsia"/>
                <w:lang w:val="en-US" w:eastAsia="zh-CN"/>
              </w:rPr>
              <w:t>云扬航空学校</w:t>
            </w:r>
            <w:r>
              <w:rPr>
                <w:rFonts w:hint="eastAsia"/>
                <w:lang w:eastAsia="zh-CN"/>
              </w:rPr>
              <w:t>）</w:t>
            </w:r>
          </w:p>
        </w:tc>
        <w:tc>
          <w:tcPr>
            <w:tcW w:w="1383" w:type="dxa"/>
            <w:noWrap w:val="0"/>
            <w:vAlign w:val="center"/>
          </w:tcPr>
          <w:p w14:paraId="14754E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L</w:t>
            </w:r>
            <w:r>
              <w:rPr>
                <w:rFonts w:hint="default" w:ascii="Times New Roman" w:hAnsi="Times New Roman" w:eastAsia="宋体" w:cs="Times New Roman"/>
                <w:color w:val="000000"/>
                <w:sz w:val="21"/>
                <w:szCs w:val="21"/>
                <w:vertAlign w:val="subscript"/>
                <w:lang w:val="en-US" w:eastAsia="zh-CN" w:bidi="ar-SA"/>
              </w:rPr>
              <w:t>eq</w:t>
            </w:r>
          </w:p>
        </w:tc>
        <w:tc>
          <w:tcPr>
            <w:tcW w:w="1730" w:type="dxa"/>
            <w:noWrap w:val="0"/>
            <w:vAlign w:val="center"/>
          </w:tcPr>
          <w:p w14:paraId="7980CA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隔声减震降噪</w:t>
            </w:r>
          </w:p>
        </w:tc>
        <w:tc>
          <w:tcPr>
            <w:tcW w:w="2381" w:type="dxa"/>
            <w:noWrap w:val="0"/>
            <w:vAlign w:val="center"/>
          </w:tcPr>
          <w:p w14:paraId="25045E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color w:val="auto"/>
                <w:sz w:val="21"/>
                <w:szCs w:val="21"/>
                <w:highlight w:val="none"/>
              </w:rPr>
              <w:t>《声环境质量标准》（GB3096-2008）</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lang w:eastAsia="zh-CN"/>
              </w:rPr>
              <w:t>类</w:t>
            </w:r>
            <w:r>
              <w:rPr>
                <w:rFonts w:hint="default" w:ascii="Times New Roman" w:hAnsi="Times New Roman" w:eastAsia="宋体" w:cs="Times New Roman"/>
                <w:color w:val="000000"/>
                <w:sz w:val="21"/>
                <w:szCs w:val="21"/>
              </w:rPr>
              <w:t>标准</w:t>
            </w:r>
          </w:p>
        </w:tc>
      </w:tr>
      <w:tr w14:paraId="7AA95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vMerge w:val="restart"/>
            <w:noWrap w:val="0"/>
            <w:vAlign w:val="center"/>
          </w:tcPr>
          <w:p w14:paraId="7CAD39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电磁辐射</w:t>
            </w:r>
          </w:p>
        </w:tc>
        <w:tc>
          <w:tcPr>
            <w:tcW w:w="1700" w:type="dxa"/>
            <w:noWrap w:val="0"/>
            <w:vAlign w:val="center"/>
          </w:tcPr>
          <w:p w14:paraId="01F507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1383" w:type="dxa"/>
            <w:noWrap w:val="0"/>
            <w:vAlign w:val="center"/>
          </w:tcPr>
          <w:p w14:paraId="6306AA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1730" w:type="dxa"/>
            <w:noWrap w:val="0"/>
            <w:vAlign w:val="center"/>
          </w:tcPr>
          <w:p w14:paraId="66EC42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2381" w:type="dxa"/>
            <w:noWrap w:val="0"/>
            <w:vAlign w:val="center"/>
          </w:tcPr>
          <w:p w14:paraId="71A575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r>
      <w:tr w14:paraId="5D20D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vMerge w:val="continue"/>
            <w:noWrap w:val="0"/>
            <w:vAlign w:val="center"/>
          </w:tcPr>
          <w:p w14:paraId="6508CA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c>
          <w:tcPr>
            <w:tcW w:w="1700" w:type="dxa"/>
            <w:noWrap w:val="0"/>
            <w:vAlign w:val="center"/>
          </w:tcPr>
          <w:p w14:paraId="73D02C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w:t>
            </w:r>
          </w:p>
        </w:tc>
        <w:tc>
          <w:tcPr>
            <w:tcW w:w="1383" w:type="dxa"/>
            <w:noWrap w:val="0"/>
            <w:vAlign w:val="center"/>
          </w:tcPr>
          <w:p w14:paraId="4B7C97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w:t>
            </w:r>
          </w:p>
        </w:tc>
        <w:tc>
          <w:tcPr>
            <w:tcW w:w="1730" w:type="dxa"/>
            <w:noWrap w:val="0"/>
            <w:vAlign w:val="center"/>
          </w:tcPr>
          <w:p w14:paraId="0BA55E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w:t>
            </w:r>
          </w:p>
        </w:tc>
        <w:tc>
          <w:tcPr>
            <w:tcW w:w="2381" w:type="dxa"/>
            <w:noWrap w:val="0"/>
            <w:vAlign w:val="center"/>
          </w:tcPr>
          <w:p w14:paraId="7B1941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w:t>
            </w:r>
          </w:p>
        </w:tc>
      </w:tr>
      <w:tr w14:paraId="63144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vMerge w:val="continue"/>
            <w:noWrap w:val="0"/>
            <w:vAlign w:val="center"/>
          </w:tcPr>
          <w:p w14:paraId="09F509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p>
        </w:tc>
        <w:tc>
          <w:tcPr>
            <w:tcW w:w="1700" w:type="dxa"/>
            <w:noWrap w:val="0"/>
            <w:vAlign w:val="center"/>
          </w:tcPr>
          <w:p w14:paraId="521E96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w:t>
            </w:r>
          </w:p>
        </w:tc>
        <w:tc>
          <w:tcPr>
            <w:tcW w:w="1383" w:type="dxa"/>
            <w:noWrap w:val="0"/>
            <w:vAlign w:val="center"/>
          </w:tcPr>
          <w:p w14:paraId="29D896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w:t>
            </w:r>
          </w:p>
        </w:tc>
        <w:tc>
          <w:tcPr>
            <w:tcW w:w="1730" w:type="dxa"/>
            <w:noWrap w:val="0"/>
            <w:vAlign w:val="center"/>
          </w:tcPr>
          <w:p w14:paraId="0E4996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w:t>
            </w:r>
          </w:p>
        </w:tc>
        <w:tc>
          <w:tcPr>
            <w:tcW w:w="2381" w:type="dxa"/>
            <w:noWrap w:val="0"/>
            <w:vAlign w:val="center"/>
          </w:tcPr>
          <w:p w14:paraId="2C2E5C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w:t>
            </w:r>
          </w:p>
        </w:tc>
      </w:tr>
      <w:tr w14:paraId="00C98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noWrap w:val="0"/>
            <w:vAlign w:val="center"/>
          </w:tcPr>
          <w:p w14:paraId="58874C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固体废物</w:t>
            </w:r>
          </w:p>
        </w:tc>
        <w:tc>
          <w:tcPr>
            <w:tcW w:w="7194" w:type="dxa"/>
            <w:gridSpan w:val="4"/>
            <w:noWrap w:val="0"/>
            <w:vAlign w:val="center"/>
          </w:tcPr>
          <w:p w14:paraId="51B0CD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default" w:ascii="Times New Roman" w:hAnsi="Times New Roman" w:cs="Times New Roman"/>
                <w:color w:val="000000"/>
                <w:sz w:val="21"/>
                <w:szCs w:val="21"/>
              </w:rPr>
            </w:pPr>
            <w:r>
              <w:rPr>
                <w:rFonts w:hint="default" w:ascii="Times New Roman" w:hAnsi="Times New Roman" w:eastAsia="宋体" w:cs="Times New Roman"/>
                <w:color w:val="auto"/>
                <w:sz w:val="21"/>
                <w:szCs w:val="21"/>
              </w:rPr>
              <w:t>职工生活垃圾由环卫部门及时清运处置</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收集粉尘</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边角料、</w:t>
            </w:r>
            <w:r>
              <w:rPr>
                <w:rFonts w:hint="default" w:ascii="Times New Roman" w:hAnsi="Times New Roman" w:eastAsia="宋体" w:cs="Times New Roman"/>
                <w:color w:val="auto"/>
                <w:highlight w:val="none"/>
                <w:lang w:val="en-US" w:eastAsia="zh-CN"/>
              </w:rPr>
              <w:t>废包装材料</w:t>
            </w:r>
            <w:r>
              <w:rPr>
                <w:rFonts w:hint="default" w:ascii="Times New Roman" w:hAnsi="Times New Roman" w:eastAsia="宋体" w:cs="Times New Roman"/>
                <w:color w:val="auto"/>
                <w:sz w:val="21"/>
                <w:szCs w:val="21"/>
                <w:lang w:eastAsia="zh-CN"/>
              </w:rPr>
              <w:t>收集后</w:t>
            </w:r>
            <w:r>
              <w:rPr>
                <w:rFonts w:hint="default" w:ascii="Times New Roman" w:hAnsi="Times New Roman" w:eastAsia="宋体" w:cs="Times New Roman"/>
                <w:color w:val="auto"/>
                <w:sz w:val="21"/>
                <w:szCs w:val="21"/>
                <w:highlight w:val="none"/>
                <w:lang w:val="en-US" w:eastAsia="zh-CN"/>
              </w:rPr>
              <w:t>出售给其他物资企业</w:t>
            </w:r>
            <w:r>
              <w:rPr>
                <w:rFonts w:hint="eastAsia" w:cs="Times New Roman"/>
                <w:color w:val="auto"/>
                <w:sz w:val="21"/>
                <w:szCs w:val="21"/>
                <w:highlight w:val="none"/>
                <w:lang w:val="en-US" w:eastAsia="zh-CN"/>
              </w:rPr>
              <w:t>。</w:t>
            </w:r>
          </w:p>
        </w:tc>
      </w:tr>
      <w:tr w14:paraId="00D67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noWrap w:val="0"/>
            <w:vAlign w:val="center"/>
          </w:tcPr>
          <w:p w14:paraId="581838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土壤及地下水污染防治措施</w:t>
            </w:r>
          </w:p>
        </w:tc>
        <w:tc>
          <w:tcPr>
            <w:tcW w:w="7194" w:type="dxa"/>
            <w:gridSpan w:val="4"/>
            <w:noWrap w:val="0"/>
            <w:vAlign w:val="center"/>
          </w:tcPr>
          <w:p w14:paraId="2B7EB4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default" w:ascii="Times New Roman" w:hAnsi="Times New Roman" w:cs="Times New Roman"/>
                <w:color w:val="000000"/>
                <w:sz w:val="21"/>
                <w:szCs w:val="21"/>
              </w:rPr>
            </w:pPr>
            <w:r>
              <w:rPr>
                <w:rFonts w:hint="default" w:ascii="Times New Roman" w:hAnsi="Times New Roman" w:eastAsia="宋体" w:cs="Times New Roman"/>
                <w:color w:val="000000"/>
                <w:sz w:val="21"/>
                <w:szCs w:val="21"/>
                <w:highlight w:val="none"/>
              </w:rPr>
              <w:t>本项目无地下水环境、土壤环境污染途径，对地下水及土壤环境无影响。</w:t>
            </w:r>
          </w:p>
        </w:tc>
      </w:tr>
      <w:tr w14:paraId="5FD9C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noWrap w:val="0"/>
            <w:vAlign w:val="center"/>
          </w:tcPr>
          <w:p w14:paraId="5B435064">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生态保护措施</w:t>
            </w:r>
          </w:p>
        </w:tc>
        <w:tc>
          <w:tcPr>
            <w:tcW w:w="7194" w:type="dxa"/>
            <w:gridSpan w:val="4"/>
            <w:noWrap w:val="0"/>
            <w:vAlign w:val="center"/>
          </w:tcPr>
          <w:p w14:paraId="343C8AE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240" w:lineRule="auto"/>
              <w:ind w:left="0" w:right="0" w:firstLine="420" w:firstLineChars="20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宋体"/>
                <w:color w:val="000000"/>
                <w:sz w:val="21"/>
                <w:szCs w:val="21"/>
                <w:lang w:val="en-US" w:eastAsia="zh-CN"/>
              </w:rPr>
              <w:t>项目厂房已建好，无施工期，不会对生态环境产生影响。</w:t>
            </w:r>
          </w:p>
        </w:tc>
      </w:tr>
      <w:tr w14:paraId="6EFAAA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noWrap w:val="0"/>
            <w:vAlign w:val="center"/>
          </w:tcPr>
          <w:p w14:paraId="33828B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环境风险</w:t>
            </w:r>
          </w:p>
          <w:p w14:paraId="7F5A6F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防范措施</w:t>
            </w:r>
          </w:p>
        </w:tc>
        <w:tc>
          <w:tcPr>
            <w:tcW w:w="7194" w:type="dxa"/>
            <w:gridSpan w:val="4"/>
            <w:noWrap w:val="0"/>
            <w:vAlign w:val="center"/>
          </w:tcPr>
          <w:p w14:paraId="0673B88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①制定安全生产责任制度和管理制度</w:t>
            </w:r>
            <w:r>
              <w:rPr>
                <w:rFonts w:hint="default" w:ascii="Times New Roman" w:hAnsi="Times New Roman" w:eastAsia="宋体" w:cs="Times New Roman"/>
                <w:color w:val="000000"/>
                <w:spacing w:val="-48"/>
              </w:rPr>
              <w:t>，</w:t>
            </w:r>
            <w:r>
              <w:rPr>
                <w:rFonts w:hint="default" w:ascii="Times New Roman" w:hAnsi="Times New Roman" w:eastAsia="宋体" w:cs="Times New Roman"/>
                <w:color w:val="000000"/>
              </w:rPr>
              <w:t>明确规定员工上岗前的培训要求，上岗前的安全准备措施和工作中的安全要求</w:t>
            </w:r>
            <w:r>
              <w:rPr>
                <w:rFonts w:hint="default" w:ascii="Times New Roman" w:hAnsi="Times New Roman" w:eastAsia="宋体" w:cs="Times New Roman"/>
                <w:color w:val="000000"/>
                <w:spacing w:val="-34"/>
              </w:rPr>
              <w:t>，</w:t>
            </w:r>
            <w:r>
              <w:rPr>
                <w:rFonts w:hint="default" w:ascii="Times New Roman" w:hAnsi="Times New Roman" w:eastAsia="宋体" w:cs="Times New Roman"/>
                <w:color w:val="000000"/>
              </w:rPr>
              <w:t>同时也对危险化学品的使用</w:t>
            </w:r>
            <w:r>
              <w:rPr>
                <w:rFonts w:hint="default" w:ascii="Times New Roman" w:hAnsi="Times New Roman" w:eastAsia="宋体" w:cs="Times New Roman"/>
                <w:color w:val="000000"/>
                <w:spacing w:val="-29"/>
              </w:rPr>
              <w:t>、</w:t>
            </w:r>
            <w:r>
              <w:rPr>
                <w:rFonts w:hint="default" w:ascii="Times New Roman" w:hAnsi="Times New Roman" w:eastAsia="宋体" w:cs="Times New Roman"/>
                <w:color w:val="000000"/>
              </w:rPr>
              <w:t>贮存</w:t>
            </w:r>
            <w:r>
              <w:rPr>
                <w:rFonts w:hint="default" w:ascii="Times New Roman" w:hAnsi="Times New Roman" w:eastAsia="宋体" w:cs="Times New Roman"/>
                <w:color w:val="000000"/>
                <w:spacing w:val="-34"/>
              </w:rPr>
              <w:t>、</w:t>
            </w:r>
            <w:r>
              <w:rPr>
                <w:rFonts w:hint="default" w:ascii="Times New Roman" w:hAnsi="Times New Roman" w:eastAsia="宋体" w:cs="Times New Roman"/>
                <w:color w:val="000000"/>
              </w:rPr>
              <w:t>装卸等操作作出相应的规定。</w:t>
            </w:r>
          </w:p>
          <w:p w14:paraId="20199AA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②按规范设置消防灭火系统，在室外配备消防栓，</w:t>
            </w:r>
            <w:r>
              <w:rPr>
                <w:rFonts w:hint="default" w:ascii="Times New Roman" w:hAnsi="Times New Roman" w:eastAsia="宋体" w:cs="Times New Roman"/>
                <w:color w:val="000000"/>
                <w:spacing w:val="4"/>
              </w:rPr>
              <w:t>车</w:t>
            </w:r>
            <w:r>
              <w:rPr>
                <w:rFonts w:hint="default" w:ascii="Times New Roman" w:hAnsi="Times New Roman" w:eastAsia="宋体" w:cs="Times New Roman"/>
                <w:color w:val="000000"/>
              </w:rPr>
              <w:t>间内配有灭</w:t>
            </w:r>
            <w:r>
              <w:rPr>
                <w:rFonts w:hint="default" w:ascii="Times New Roman" w:hAnsi="Times New Roman" w:eastAsia="宋体" w:cs="Times New Roman"/>
                <w:color w:val="000000"/>
                <w:spacing w:val="4"/>
              </w:rPr>
              <w:t>火</w:t>
            </w:r>
            <w:r>
              <w:rPr>
                <w:rFonts w:hint="default" w:ascii="Times New Roman" w:hAnsi="Times New Roman" w:eastAsia="宋体" w:cs="Times New Roman"/>
                <w:color w:val="000000"/>
              </w:rPr>
              <w:t>器等火灾消防</w:t>
            </w:r>
            <w:r>
              <w:rPr>
                <w:rFonts w:hint="default" w:ascii="Times New Roman" w:hAnsi="Times New Roman" w:eastAsia="宋体" w:cs="Times New Roman"/>
                <w:color w:val="000000"/>
                <w:spacing w:val="4"/>
              </w:rPr>
              <w:t>器</w:t>
            </w:r>
            <w:r>
              <w:rPr>
                <w:rFonts w:hint="default" w:ascii="Times New Roman" w:hAnsi="Times New Roman" w:eastAsia="宋体" w:cs="Times New Roman"/>
                <w:color w:val="000000"/>
              </w:rPr>
              <w:t>材，配备电气防护用品和防火的劳保用品，并有专人管理和维护。</w:t>
            </w:r>
          </w:p>
          <w:p w14:paraId="1D8CA3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color w:val="000000"/>
                <w:sz w:val="21"/>
                <w:szCs w:val="21"/>
                <w:lang w:eastAsia="zh-CN"/>
              </w:rPr>
            </w:pPr>
            <w:r>
              <w:rPr>
                <w:rFonts w:hint="default" w:ascii="Times New Roman" w:hAnsi="Times New Roman" w:eastAsia="宋体" w:cs="Times New Roman"/>
                <w:color w:val="000000"/>
              </w:rPr>
              <w:t>③生产车间采用防爆型的照明、通风系统和设备，电缆应使用阻燃型电缆；对于压力容器、安全附件等强检设备、防雷静电设施应按规范要求定期检验，并作记录</w:t>
            </w:r>
            <w:r>
              <w:rPr>
                <w:rFonts w:hint="eastAsia" w:ascii="Times New Roman" w:hAnsi="Times New Roman" w:cs="Times New Roman"/>
                <w:color w:val="000000"/>
                <w:lang w:eastAsia="zh-CN"/>
              </w:rPr>
              <w:t>。</w:t>
            </w:r>
          </w:p>
        </w:tc>
      </w:tr>
      <w:tr w14:paraId="5F811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6" w:type="dxa"/>
            <w:noWrap w:val="0"/>
            <w:vAlign w:val="center"/>
          </w:tcPr>
          <w:p w14:paraId="37F807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其他环境</w:t>
            </w:r>
          </w:p>
          <w:p w14:paraId="308556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管理要求</w:t>
            </w:r>
          </w:p>
        </w:tc>
        <w:tc>
          <w:tcPr>
            <w:tcW w:w="7194" w:type="dxa"/>
            <w:gridSpan w:val="4"/>
            <w:noWrap w:val="0"/>
            <w:vAlign w:val="center"/>
          </w:tcPr>
          <w:p w14:paraId="42D42D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2" w:leftChars="-20" w:right="-42" w:rightChars="-20" w:firstLine="420" w:firstLineChars="200"/>
              <w:jc w:val="left"/>
              <w:textAlignment w:val="auto"/>
              <w:rPr>
                <w:rFonts w:hint="default" w:ascii="Times New Roman" w:hAnsi="Times New Roman" w:cs="Times New Roman"/>
                <w:color w:val="000000"/>
                <w:szCs w:val="21"/>
                <w:lang w:val="en-US" w:eastAsia="zh-CN"/>
              </w:rPr>
            </w:pPr>
            <w:r>
              <w:rPr>
                <w:rFonts w:hint="eastAsia" w:ascii="Times New Roman" w:hAnsi="Times New Roman" w:cs="Times New Roman"/>
                <w:color w:val="000000"/>
                <w:kern w:val="2"/>
                <w:sz w:val="21"/>
                <w:szCs w:val="21"/>
                <w:lang w:val="en-US" w:eastAsia="zh-CN" w:bidi="ar"/>
              </w:rPr>
              <w:t>（1）</w:t>
            </w:r>
            <w:r>
              <w:rPr>
                <w:rFonts w:hint="default" w:ascii="Times New Roman" w:hAnsi="Times New Roman" w:cs="Times New Roman"/>
                <w:color w:val="000000"/>
                <w:szCs w:val="21"/>
                <w:lang w:val="en-US" w:eastAsia="zh-CN"/>
              </w:rPr>
              <w:t>环境管理台账</w:t>
            </w:r>
          </w:p>
          <w:p w14:paraId="405722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2" w:leftChars="-20" w:right="-42" w:rightChars="-20" w:firstLine="420" w:firstLineChars="200"/>
              <w:jc w:val="left"/>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建设单位应建立环境管理台账制度，落实环境管理台账记录的责任部门和责任人，明确工作职责，包括台账的记录、整理、维护和管理等，并对环境管理台账的真实性、完整性和规范性负责。台账应按照电子化储存和纸质储存两种形式同步管理。台账保存期限不得少于5年。</w:t>
            </w:r>
          </w:p>
          <w:p w14:paraId="4C3EB5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2" w:leftChars="-20" w:right="-42" w:rightChars="-20" w:firstLine="420" w:firstLineChars="200"/>
              <w:jc w:val="left"/>
              <w:textAlignment w:val="auto"/>
              <w:rPr>
                <w:rFonts w:hint="default" w:ascii="Times New Roman" w:hAnsi="Times New Roman" w:cs="Times New Roman"/>
                <w:color w:val="000000"/>
                <w:szCs w:val="21"/>
                <w:lang w:val="en-US" w:eastAsia="zh-CN"/>
              </w:rPr>
            </w:pPr>
            <w:r>
              <w:rPr>
                <w:rFonts w:hint="eastAsia"/>
                <w:color w:val="000000"/>
                <w:lang w:val="en-US" w:eastAsia="zh-CN"/>
              </w:rPr>
              <w:t>（2）</w:t>
            </w:r>
            <w:r>
              <w:rPr>
                <w:rFonts w:hint="default" w:ascii="Times New Roman" w:hAnsi="Times New Roman" w:cs="Times New Roman"/>
                <w:color w:val="000000"/>
                <w:szCs w:val="21"/>
                <w:lang w:val="en-US" w:eastAsia="zh-CN"/>
              </w:rPr>
              <w:t xml:space="preserve">排污许可证申领 </w:t>
            </w:r>
          </w:p>
          <w:p w14:paraId="03A56E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2" w:leftChars="-20" w:right="-42" w:rightChars="-20" w:firstLine="420" w:firstLineChars="200"/>
              <w:jc w:val="left"/>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根据《排污许可管理条例》（国令第736号）要求，纳入排污许可管理的建设项目，排污单位应当在启动生产设施或者实际排污之前，按照国家排污许可有关管理规定要求，申请排污许可证或进行排污登记，不得无证排污或不按证排污。建设单位投产前应对照《固定污染源排污许可分类管理名录》（2019 版）相关规定</w:t>
            </w:r>
            <w:r>
              <w:rPr>
                <w:rFonts w:hint="eastAsia" w:cs="Times New Roman"/>
                <w:color w:val="000000"/>
                <w:szCs w:val="21"/>
                <w:lang w:val="en-US" w:eastAsia="zh-CN"/>
              </w:rPr>
              <w:t>及时进行</w:t>
            </w:r>
            <w:r>
              <w:rPr>
                <w:rFonts w:hint="default" w:ascii="Times New Roman" w:hAnsi="Times New Roman" w:cs="Times New Roman"/>
                <w:color w:val="000000"/>
                <w:szCs w:val="21"/>
                <w:lang w:val="en-US" w:eastAsia="zh-CN"/>
              </w:rPr>
              <w:t>排污</w:t>
            </w:r>
            <w:r>
              <w:rPr>
                <w:rFonts w:hint="eastAsia" w:cs="Times New Roman"/>
                <w:color w:val="000000"/>
                <w:szCs w:val="21"/>
                <w:lang w:val="en-US" w:eastAsia="zh-CN"/>
              </w:rPr>
              <w:t>许可证申请</w:t>
            </w:r>
            <w:r>
              <w:rPr>
                <w:rFonts w:hint="default" w:ascii="Times New Roman" w:hAnsi="Times New Roman" w:cs="Times New Roman"/>
                <w:color w:val="000000"/>
                <w:szCs w:val="21"/>
                <w:lang w:val="en-US" w:eastAsia="zh-CN"/>
              </w:rPr>
              <w:t>。</w:t>
            </w:r>
          </w:p>
          <w:p w14:paraId="69AD97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2" w:leftChars="-20" w:right="-42" w:rightChars="-20" w:firstLine="420" w:firstLineChars="200"/>
              <w:jc w:val="left"/>
              <w:textAlignment w:val="auto"/>
              <w:rPr>
                <w:rFonts w:hint="default" w:ascii="Times New Roman" w:hAnsi="Times New Roman" w:cs="Times New Roman"/>
                <w:color w:val="000000"/>
                <w:szCs w:val="21"/>
                <w:lang w:val="en-US" w:eastAsia="zh-CN"/>
              </w:rPr>
            </w:pPr>
            <w:r>
              <w:rPr>
                <w:rFonts w:hint="eastAsia" w:ascii="宋体" w:hAnsi="宋体" w:cs="宋体"/>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3</w:t>
            </w:r>
            <w:r>
              <w:rPr>
                <w:rFonts w:hint="eastAsia" w:ascii="宋体" w:hAnsi="宋体" w:cs="宋体"/>
                <w:color w:val="000000"/>
                <w:kern w:val="0"/>
                <w:sz w:val="21"/>
                <w:szCs w:val="21"/>
                <w:lang w:val="en-US" w:eastAsia="zh-CN" w:bidi="ar"/>
              </w:rPr>
              <w:t>）</w:t>
            </w:r>
            <w:r>
              <w:rPr>
                <w:rFonts w:hint="default" w:ascii="Times New Roman" w:hAnsi="Times New Roman" w:cs="Times New Roman"/>
                <w:color w:val="000000"/>
                <w:szCs w:val="21"/>
                <w:lang w:val="en-US" w:eastAsia="zh-CN"/>
              </w:rPr>
              <w:t>环保设施及验收</w:t>
            </w:r>
          </w:p>
          <w:p w14:paraId="23DD62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2" w:leftChars="-20" w:right="-42" w:rightChars="-20" w:firstLine="420" w:firstLineChars="200"/>
              <w:jc w:val="left"/>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①建设单位是建设项目竣工环境保护验收的责任主体，应当按照《建设项目竣工环境保护验收暂行办法》（国环规环评[2017]4号）规定的程序和标准，组织对配套建设的环境保护设施进行验收，编制验收报告，公开相关信息，接受社会监督，确保建设项目需要配套建设的环境保护设施与主体工程同时投产或者使用。</w:t>
            </w:r>
          </w:p>
          <w:p w14:paraId="000773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2" w:leftChars="-20" w:right="-42" w:rightChars="-20" w:firstLine="420" w:firstLineChars="200"/>
              <w:jc w:val="left"/>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②建设项目竣工后，建设单位应如实查验、监测、记载建设项目环境保护设施的建设和调试情况，编制验收监测（调查）报告，参照《建设项目竣工环境保护验收技术指南 污染影响类》编制验收监测报告。</w:t>
            </w:r>
          </w:p>
          <w:p w14:paraId="07702E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000000"/>
                <w:kern w:val="0"/>
                <w:sz w:val="21"/>
                <w:szCs w:val="21"/>
                <w:lang w:val="en-US" w:eastAsia="zh-CN" w:bidi="ar"/>
              </w:rPr>
            </w:pPr>
            <w:r>
              <w:rPr>
                <w:rFonts w:hint="default" w:ascii="Times New Roman" w:hAnsi="Times New Roman" w:cs="Times New Roman"/>
                <w:color w:val="000000"/>
                <w:szCs w:val="21"/>
                <w:lang w:val="en-US" w:eastAsia="zh-CN"/>
              </w:rPr>
              <w:t>③建设项目配套建设的环境保护设施经验收合格后，其主体工程方可投入生产或者使用；未经验收或者验收不合格的，不得投入生产或者使用。</w:t>
            </w:r>
          </w:p>
          <w:p w14:paraId="5844A9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2" w:leftChars="-20" w:right="-42" w:rightChars="-20" w:firstLine="420" w:firstLineChars="200"/>
              <w:jc w:val="left"/>
              <w:textAlignment w:val="auto"/>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4</w:t>
            </w:r>
            <w:r>
              <w:rPr>
                <w:rFonts w:hint="eastAsia" w:ascii="宋体" w:hAnsi="宋体" w:cs="宋体"/>
                <w:color w:val="000000"/>
                <w:kern w:val="0"/>
                <w:sz w:val="21"/>
                <w:szCs w:val="21"/>
                <w:lang w:val="en-US" w:eastAsia="zh-CN" w:bidi="ar"/>
              </w:rPr>
              <w:t>）信息公开情况</w:t>
            </w:r>
          </w:p>
          <w:p w14:paraId="6430B8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2" w:leftChars="-20" w:right="-42" w:rightChars="-20" w:firstLine="420" w:firstLineChars="200"/>
              <w:jc w:val="left"/>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000000"/>
                <w:kern w:val="0"/>
                <w:sz w:val="21"/>
                <w:szCs w:val="21"/>
                <w:lang w:val="en-US" w:eastAsia="zh-CN" w:bidi="ar"/>
              </w:rPr>
              <w:t>根据《福建省环保厅关于做好建设项目环境影响评价信息公开工作的通知》（闽环评函[2016]94号文），</w:t>
            </w:r>
            <w:r>
              <w:rPr>
                <w:rFonts w:hint="eastAsia" w:ascii="宋体" w:hAnsi="宋体" w:eastAsia="宋体" w:cs="宋体"/>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为进一步做好我省环境影响评价信息公开工作，更好的保障公众对项目建设环境影响的知情权、参与权和监督权，推进环评阳光审批</w:t>
            </w:r>
            <w:r>
              <w:rPr>
                <w:rFonts w:hint="eastAsia" w:ascii="宋体" w:hAnsi="宋体" w:eastAsia="宋体" w:cs="宋体"/>
                <w:color w:val="000000"/>
                <w:kern w:val="0"/>
                <w:sz w:val="21"/>
                <w:szCs w:val="21"/>
                <w:lang w:val="en-US" w:eastAsia="zh-CN" w:bidi="ar"/>
              </w:rPr>
              <w:t>”</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szCs w:val="21"/>
                <w:lang w:val="en-US" w:eastAsia="zh-CN"/>
              </w:rPr>
              <w:t>福建省泓瀚卫生用品有限公司</w:t>
            </w:r>
            <w:r>
              <w:rPr>
                <w:rFonts w:hint="default" w:ascii="Times New Roman" w:hAnsi="Times New Roman" w:cs="Times New Roman"/>
                <w:color w:val="000000"/>
                <w:kern w:val="0"/>
                <w:sz w:val="21"/>
                <w:szCs w:val="21"/>
                <w:lang w:val="en-US" w:eastAsia="zh-CN" w:bidi="ar"/>
              </w:rPr>
              <w:t>在</w:t>
            </w:r>
            <w:r>
              <w:rPr>
                <w:rFonts w:hint="eastAsia" w:ascii="Times New Roman" w:hAnsi="Times New Roman" w:cs="Times New Roman"/>
                <w:color w:val="000000"/>
                <w:kern w:val="0"/>
                <w:sz w:val="21"/>
                <w:szCs w:val="21"/>
                <w:lang w:val="en-US" w:eastAsia="zh-CN" w:bidi="ar"/>
              </w:rPr>
              <w:t>生态环境公示</w:t>
            </w:r>
            <w:r>
              <w:rPr>
                <w:rFonts w:hint="default" w:ascii="Times New Roman" w:hAnsi="Times New Roman" w:cs="Times New Roman"/>
                <w:color w:val="000000"/>
                <w:kern w:val="0"/>
                <w:sz w:val="21"/>
                <w:szCs w:val="21"/>
                <w:lang w:val="en-US" w:eastAsia="zh-CN" w:bidi="ar"/>
              </w:rPr>
              <w:t>网进行环境影响评价第一次网上公示，公示期限为202</w:t>
            </w:r>
            <w:r>
              <w:rPr>
                <w:rFonts w:hint="eastAsia" w:cs="Times New Roman"/>
                <w:color w:val="000000"/>
                <w:kern w:val="0"/>
                <w:sz w:val="21"/>
                <w:szCs w:val="21"/>
                <w:lang w:val="en-US" w:eastAsia="zh-CN" w:bidi="ar"/>
              </w:rPr>
              <w:t>5</w:t>
            </w:r>
            <w:r>
              <w:rPr>
                <w:rFonts w:hint="default" w:ascii="Times New Roman" w:hAnsi="Times New Roman" w:cs="Times New Roman"/>
                <w:color w:val="auto"/>
                <w:kern w:val="0"/>
                <w:sz w:val="21"/>
                <w:szCs w:val="21"/>
                <w:lang w:val="en-US" w:eastAsia="zh-CN" w:bidi="ar"/>
              </w:rPr>
              <w:t>年</w:t>
            </w:r>
            <w:r>
              <w:rPr>
                <w:rFonts w:hint="eastAsia" w:cs="Times New Roman"/>
                <w:color w:val="auto"/>
                <w:kern w:val="0"/>
                <w:sz w:val="21"/>
                <w:szCs w:val="21"/>
                <w:lang w:val="en-US" w:eastAsia="zh-CN" w:bidi="ar"/>
              </w:rPr>
              <w:t>1月1</w:t>
            </w:r>
            <w:r>
              <w:rPr>
                <w:rFonts w:hint="default" w:ascii="Times New Roman" w:hAnsi="Times New Roman" w:cs="Times New Roman"/>
                <w:color w:val="auto"/>
                <w:kern w:val="0"/>
                <w:sz w:val="21"/>
                <w:szCs w:val="21"/>
                <w:lang w:val="en-US" w:eastAsia="zh-CN" w:bidi="ar"/>
              </w:rPr>
              <w:t>日~</w:t>
            </w:r>
            <w:r>
              <w:rPr>
                <w:rFonts w:hint="eastAsia" w:cs="Times New Roman"/>
                <w:color w:val="auto"/>
                <w:kern w:val="0"/>
                <w:sz w:val="21"/>
                <w:szCs w:val="21"/>
                <w:lang w:val="en-US" w:eastAsia="zh-CN" w:bidi="ar"/>
              </w:rPr>
              <w:t>1</w:t>
            </w:r>
            <w:r>
              <w:rPr>
                <w:rFonts w:hint="default" w:ascii="Times New Roman" w:hAnsi="Times New Roman" w:cs="Times New Roman"/>
                <w:color w:val="auto"/>
                <w:kern w:val="0"/>
                <w:sz w:val="21"/>
                <w:szCs w:val="21"/>
                <w:lang w:val="en-US" w:eastAsia="zh-CN" w:bidi="ar"/>
              </w:rPr>
              <w:t>月</w:t>
            </w:r>
            <w:r>
              <w:rPr>
                <w:rFonts w:hint="eastAsia" w:cs="Times New Roman"/>
                <w:color w:val="auto"/>
                <w:kern w:val="0"/>
                <w:sz w:val="21"/>
                <w:szCs w:val="21"/>
                <w:lang w:val="en-US" w:eastAsia="zh-CN" w:bidi="ar"/>
              </w:rPr>
              <w:t>8</w:t>
            </w:r>
            <w:r>
              <w:rPr>
                <w:rFonts w:hint="default" w:ascii="Times New Roman" w:hAnsi="Times New Roman" w:cs="Times New Roman"/>
                <w:color w:val="auto"/>
                <w:kern w:val="0"/>
                <w:sz w:val="21"/>
                <w:szCs w:val="21"/>
                <w:lang w:val="en-US" w:eastAsia="zh-CN" w:bidi="ar"/>
              </w:rPr>
              <w:t>日（5个工作日，网上公示照片见</w:t>
            </w:r>
            <w:r>
              <w:rPr>
                <w:rFonts w:hint="default" w:ascii="Times New Roman" w:hAnsi="Times New Roman" w:cs="Times New Roman"/>
                <w:b/>
                <w:bCs/>
                <w:color w:val="auto"/>
                <w:kern w:val="0"/>
                <w:sz w:val="21"/>
                <w:szCs w:val="21"/>
                <w:lang w:val="en-US" w:eastAsia="zh-CN" w:bidi="ar"/>
              </w:rPr>
              <w:t>附件</w:t>
            </w:r>
            <w:r>
              <w:rPr>
                <w:rFonts w:hint="eastAsia" w:cs="Times New Roman"/>
                <w:b/>
                <w:bCs/>
                <w:color w:val="auto"/>
                <w:kern w:val="0"/>
                <w:sz w:val="21"/>
                <w:szCs w:val="21"/>
                <w:lang w:val="en-US" w:eastAsia="zh-CN" w:bidi="ar"/>
              </w:rPr>
              <w:t>9</w:t>
            </w:r>
            <w:r>
              <w:rPr>
                <w:rFonts w:hint="default" w:ascii="Times New Roman" w:hAnsi="Times New Roman" w:cs="Times New Roman"/>
                <w:color w:val="auto"/>
                <w:kern w:val="0"/>
                <w:sz w:val="21"/>
                <w:szCs w:val="21"/>
                <w:lang w:val="en-US" w:eastAsia="zh-CN" w:bidi="ar"/>
              </w:rPr>
              <w:t>），项目公示期间，未收到反馈信息。</w:t>
            </w:r>
          </w:p>
          <w:p w14:paraId="3FE7A3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2" w:leftChars="-20" w:right="-42" w:rightChars="-20" w:firstLine="420" w:firstLineChars="200"/>
              <w:jc w:val="left"/>
              <w:textAlignment w:val="auto"/>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auto"/>
                <w:kern w:val="0"/>
                <w:sz w:val="21"/>
                <w:szCs w:val="21"/>
                <w:lang w:val="en-US" w:eastAsia="zh-CN" w:bidi="ar"/>
              </w:rPr>
              <w:t>根据《建设项目环境影响评价信息公开机制方案》（环发[2015]162号）文件要求，</w:t>
            </w:r>
            <w:r>
              <w:rPr>
                <w:rFonts w:hint="eastAsia" w:cs="Times New Roman"/>
                <w:color w:val="auto"/>
                <w:kern w:val="0"/>
                <w:sz w:val="21"/>
                <w:szCs w:val="21"/>
                <w:lang w:val="en-US" w:eastAsia="zh-CN" w:bidi="ar"/>
              </w:rPr>
              <w:t>“建设单位在建设项目环境影响报告书（表）编制完成后，向环境保护主管部门报批前，应当向社会公开环境影响报告书（表）全本”</w:t>
            </w:r>
            <w:r>
              <w:rPr>
                <w:rFonts w:hint="default" w:ascii="Times New Roman" w:hAnsi="Times New Roman" w:cs="Times New Roman"/>
                <w:color w:val="auto"/>
                <w:kern w:val="0"/>
                <w:sz w:val="21"/>
                <w:szCs w:val="21"/>
                <w:lang w:val="en-US" w:eastAsia="zh-CN" w:bidi="ar"/>
              </w:rPr>
              <w:t>。</w:t>
            </w:r>
            <w:r>
              <w:rPr>
                <w:rFonts w:hint="default" w:ascii="Times New Roman" w:hAnsi="Times New Roman" w:eastAsia="宋体" w:cs="Times New Roman"/>
                <w:color w:val="000000"/>
                <w:szCs w:val="21"/>
                <w:lang w:val="en-US" w:eastAsia="zh-CN"/>
              </w:rPr>
              <w:t>福建省泓瀚卫生用品有限公司</w:t>
            </w:r>
            <w:r>
              <w:rPr>
                <w:rFonts w:hint="default" w:ascii="Times New Roman" w:hAnsi="Times New Roman" w:cs="Times New Roman"/>
                <w:color w:val="auto"/>
                <w:kern w:val="0"/>
                <w:sz w:val="21"/>
                <w:szCs w:val="21"/>
                <w:lang w:val="en-US" w:eastAsia="zh-CN" w:bidi="ar"/>
              </w:rPr>
              <w:t>在</w:t>
            </w:r>
            <w:r>
              <w:rPr>
                <w:rFonts w:hint="eastAsia" w:ascii="Times New Roman" w:hAnsi="Times New Roman" w:cs="Times New Roman"/>
                <w:color w:val="auto"/>
                <w:kern w:val="0"/>
                <w:sz w:val="21"/>
                <w:szCs w:val="21"/>
                <w:lang w:val="en-US" w:eastAsia="zh-CN" w:bidi="ar"/>
              </w:rPr>
              <w:t>生态环境公示</w:t>
            </w:r>
            <w:r>
              <w:rPr>
                <w:rFonts w:hint="default" w:ascii="Times New Roman" w:hAnsi="Times New Roman" w:cs="Times New Roman"/>
                <w:color w:val="auto"/>
                <w:kern w:val="0"/>
                <w:sz w:val="21"/>
                <w:szCs w:val="21"/>
                <w:lang w:val="en-US" w:eastAsia="zh-CN" w:bidi="ar"/>
              </w:rPr>
              <w:t>网进行环境影响评价第二次网上公示，公示</w:t>
            </w:r>
            <w:r>
              <w:rPr>
                <w:rFonts w:hint="default" w:ascii="Times New Roman" w:hAnsi="Times New Roman" w:eastAsia="宋体" w:cs="Times New Roman"/>
                <w:color w:val="auto"/>
                <w:kern w:val="0"/>
                <w:sz w:val="21"/>
                <w:szCs w:val="21"/>
                <w:lang w:val="en-US" w:eastAsia="zh-CN" w:bidi="ar"/>
              </w:rPr>
              <w:t>期限</w:t>
            </w:r>
            <w:r>
              <w:rPr>
                <w:rFonts w:hint="default" w:ascii="Times New Roman" w:hAnsi="Times New Roman" w:cs="Times New Roman"/>
                <w:color w:val="auto"/>
                <w:kern w:val="0"/>
                <w:sz w:val="21"/>
                <w:szCs w:val="21"/>
                <w:lang w:val="en-US" w:eastAsia="zh-CN" w:bidi="ar"/>
              </w:rPr>
              <w:t>为202</w:t>
            </w:r>
            <w:r>
              <w:rPr>
                <w:rFonts w:hint="eastAsia" w:cs="Times New Roman"/>
                <w:color w:val="auto"/>
                <w:kern w:val="0"/>
                <w:sz w:val="21"/>
                <w:szCs w:val="21"/>
                <w:lang w:val="en-US" w:eastAsia="zh-CN" w:bidi="ar"/>
              </w:rPr>
              <w:t>5</w:t>
            </w:r>
            <w:r>
              <w:rPr>
                <w:rFonts w:hint="default" w:ascii="Times New Roman" w:hAnsi="Times New Roman" w:cs="Times New Roman"/>
                <w:color w:val="auto"/>
                <w:kern w:val="0"/>
                <w:sz w:val="21"/>
                <w:szCs w:val="21"/>
                <w:lang w:val="en-US" w:eastAsia="zh-CN" w:bidi="ar"/>
              </w:rPr>
              <w:t>年</w:t>
            </w:r>
            <w:r>
              <w:rPr>
                <w:rFonts w:hint="eastAsia" w:cs="Times New Roman"/>
                <w:color w:val="auto"/>
                <w:kern w:val="0"/>
                <w:sz w:val="21"/>
                <w:szCs w:val="21"/>
                <w:lang w:val="en-US" w:eastAsia="zh-CN" w:bidi="ar"/>
              </w:rPr>
              <w:t>1</w:t>
            </w:r>
            <w:r>
              <w:rPr>
                <w:rFonts w:hint="default" w:ascii="Times New Roman" w:hAnsi="Times New Roman" w:cs="Times New Roman"/>
                <w:color w:val="auto"/>
                <w:kern w:val="0"/>
                <w:sz w:val="21"/>
                <w:szCs w:val="21"/>
                <w:lang w:val="en-US" w:eastAsia="zh-CN" w:bidi="ar"/>
              </w:rPr>
              <w:t>月</w:t>
            </w:r>
            <w:r>
              <w:rPr>
                <w:rFonts w:hint="eastAsia" w:cs="Times New Roman"/>
                <w:color w:val="auto"/>
                <w:kern w:val="0"/>
                <w:sz w:val="21"/>
                <w:szCs w:val="21"/>
                <w:lang w:val="en-US" w:eastAsia="zh-CN" w:bidi="ar"/>
              </w:rPr>
              <w:t>10</w:t>
            </w:r>
            <w:r>
              <w:rPr>
                <w:rFonts w:hint="default" w:ascii="Times New Roman" w:hAnsi="Times New Roman" w:cs="Times New Roman"/>
                <w:color w:val="auto"/>
                <w:kern w:val="0"/>
                <w:sz w:val="21"/>
                <w:szCs w:val="21"/>
                <w:lang w:val="en-US" w:eastAsia="zh-CN" w:bidi="ar"/>
              </w:rPr>
              <w:t>日~</w:t>
            </w:r>
            <w:r>
              <w:rPr>
                <w:rFonts w:hint="eastAsia" w:cs="Times New Roman"/>
                <w:color w:val="auto"/>
                <w:kern w:val="0"/>
                <w:sz w:val="21"/>
                <w:szCs w:val="21"/>
                <w:lang w:val="en-US" w:eastAsia="zh-CN" w:bidi="ar"/>
              </w:rPr>
              <w:t>1</w:t>
            </w:r>
            <w:r>
              <w:rPr>
                <w:rFonts w:hint="default" w:ascii="Times New Roman" w:hAnsi="Times New Roman" w:cs="Times New Roman"/>
                <w:color w:val="auto"/>
                <w:kern w:val="0"/>
                <w:sz w:val="21"/>
                <w:szCs w:val="21"/>
                <w:lang w:val="en-US" w:eastAsia="zh-CN" w:bidi="ar"/>
              </w:rPr>
              <w:t>月</w:t>
            </w:r>
            <w:r>
              <w:rPr>
                <w:rFonts w:hint="eastAsia" w:cs="Times New Roman"/>
                <w:color w:val="auto"/>
                <w:kern w:val="0"/>
                <w:sz w:val="21"/>
                <w:szCs w:val="21"/>
                <w:lang w:val="en-US" w:eastAsia="zh-CN" w:bidi="ar"/>
              </w:rPr>
              <w:t>16</w:t>
            </w:r>
            <w:r>
              <w:rPr>
                <w:rFonts w:hint="default" w:ascii="Times New Roman" w:hAnsi="Times New Roman" w:cs="Times New Roman"/>
                <w:color w:val="auto"/>
                <w:kern w:val="0"/>
                <w:sz w:val="21"/>
                <w:szCs w:val="21"/>
                <w:lang w:val="en-US" w:eastAsia="zh-CN" w:bidi="ar"/>
              </w:rPr>
              <w:t>日（5个工</w:t>
            </w:r>
            <w:r>
              <w:rPr>
                <w:rFonts w:hint="default" w:ascii="Times New Roman" w:hAnsi="Times New Roman" w:cs="Times New Roman"/>
                <w:color w:val="000000"/>
                <w:kern w:val="0"/>
                <w:sz w:val="21"/>
                <w:szCs w:val="21"/>
                <w:lang w:val="en-US" w:eastAsia="zh-CN" w:bidi="ar"/>
              </w:rPr>
              <w:t>作日，网上公示照片见</w:t>
            </w:r>
            <w:r>
              <w:rPr>
                <w:rFonts w:hint="default" w:ascii="Times New Roman" w:hAnsi="Times New Roman" w:cs="Times New Roman"/>
                <w:b/>
                <w:bCs/>
                <w:color w:val="000000"/>
                <w:kern w:val="0"/>
                <w:sz w:val="21"/>
                <w:szCs w:val="21"/>
                <w:lang w:val="en-US" w:eastAsia="zh-CN" w:bidi="ar"/>
              </w:rPr>
              <w:t>附件</w:t>
            </w:r>
            <w:r>
              <w:rPr>
                <w:rFonts w:hint="eastAsia" w:cs="Times New Roman"/>
                <w:b/>
                <w:bCs/>
                <w:color w:val="000000"/>
                <w:kern w:val="0"/>
                <w:sz w:val="21"/>
                <w:szCs w:val="21"/>
                <w:lang w:val="en-US" w:eastAsia="zh-CN" w:bidi="ar"/>
              </w:rPr>
              <w:t>9</w:t>
            </w:r>
            <w:r>
              <w:rPr>
                <w:rFonts w:hint="default" w:ascii="Times New Roman" w:hAnsi="Times New Roman" w:cs="Times New Roman"/>
                <w:color w:val="000000"/>
                <w:kern w:val="0"/>
                <w:sz w:val="21"/>
                <w:szCs w:val="21"/>
                <w:lang w:val="en-US" w:eastAsia="zh-CN" w:bidi="ar"/>
              </w:rPr>
              <w:t>），项目公示期间，未接到群众来电来信投诉反馈信息。</w:t>
            </w:r>
          </w:p>
          <w:p w14:paraId="2D044A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42" w:leftChars="-20" w:right="-42" w:rightChars="-20" w:firstLine="420" w:firstLineChars="200"/>
              <w:jc w:val="left"/>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kern w:val="0"/>
                <w:sz w:val="21"/>
                <w:szCs w:val="21"/>
                <w:lang w:val="en-US" w:eastAsia="zh-CN" w:bidi="ar"/>
              </w:rPr>
              <w:t>因此，公众基本认可本项目的建设。</w:t>
            </w:r>
          </w:p>
        </w:tc>
      </w:tr>
    </w:tbl>
    <w:p w14:paraId="20E08ACB">
      <w:pPr>
        <w:rPr>
          <w:color w:val="000000"/>
        </w:rPr>
      </w:pPr>
      <w:r>
        <w:rPr>
          <w:snapToGrid w:val="0"/>
          <w:color w:val="000000"/>
        </w:rPr>
        <w:br w:type="page"/>
      </w:r>
    </w:p>
    <w:p w14:paraId="596D7AF3">
      <w:pPr>
        <w:pStyle w:val="18"/>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黑体" w:hAnsi="黑体" w:eastAsia="黑体"/>
          <w:snapToGrid w:val="0"/>
          <w:color w:val="000000"/>
          <w:sz w:val="30"/>
          <w:szCs w:val="30"/>
        </w:rPr>
      </w:pPr>
      <w:r>
        <w:rPr>
          <w:rFonts w:hint="eastAsia" w:ascii="黑体" w:hAnsi="黑体" w:eastAsia="黑体"/>
          <w:snapToGrid w:val="0"/>
          <w:color w:val="000000"/>
          <w:sz w:val="30"/>
          <w:szCs w:val="30"/>
        </w:rPr>
        <w:t>结论</w:t>
      </w:r>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DE0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4" w:hRule="atLeast"/>
        </w:trPr>
        <w:tc>
          <w:tcPr>
            <w:tcW w:w="9060" w:type="dxa"/>
            <w:noWrap w:val="0"/>
            <w:vAlign w:val="top"/>
          </w:tcPr>
          <w:p w14:paraId="0643720A">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本项目建设符合国家有关产业政策，</w:t>
            </w:r>
            <w:r>
              <w:rPr>
                <w:rFonts w:hint="eastAsia" w:ascii="Times New Roman" w:hAnsi="Times New Roman" w:cs="Times New Roman"/>
                <w:color w:val="000000"/>
                <w:sz w:val="21"/>
                <w:szCs w:val="21"/>
                <w:lang w:eastAsia="zh-CN"/>
              </w:rPr>
              <w:t>符合“三线一单”控制要求，</w:t>
            </w:r>
            <w:r>
              <w:rPr>
                <w:rFonts w:hint="eastAsia"/>
                <w:lang w:val="en-US" w:eastAsia="zh-CN"/>
              </w:rPr>
              <w:t>项目</w:t>
            </w:r>
            <w:r>
              <w:rPr>
                <w:rFonts w:hint="eastAsia" w:cs="宋体"/>
                <w:color w:val="000000"/>
                <w:sz w:val="21"/>
                <w:szCs w:val="21"/>
                <w:lang w:val="en-US" w:eastAsia="zh-CN"/>
              </w:rPr>
              <w:t>所在地规划为研发类工业用地，因此项目建设单位承诺，如果该地块需要搬迁，将无条件配合搬迁。</w:t>
            </w:r>
            <w:r>
              <w:rPr>
                <w:rFonts w:hint="eastAsia" w:ascii="Times New Roman" w:hAnsi="Times New Roman" w:eastAsia="宋体" w:cs="宋体"/>
                <w:color w:val="000000"/>
                <w:sz w:val="21"/>
                <w:szCs w:val="21"/>
              </w:rPr>
              <w:t>在采取本报告中提出的环保治理措施后，</w:t>
            </w:r>
            <w:r>
              <w:rPr>
                <w:rFonts w:hint="eastAsia" w:ascii="Times New Roman" w:hAnsi="Times New Roman" w:eastAsia="宋体" w:cs="宋体"/>
                <w:color w:val="000000"/>
                <w:sz w:val="21"/>
                <w:szCs w:val="21"/>
                <w:lang w:val="en-US" w:eastAsia="zh-CN"/>
              </w:rPr>
              <w:t>项目废水、废气、噪声均能达标排放，固废能妥善处理，</w:t>
            </w:r>
            <w:r>
              <w:rPr>
                <w:rFonts w:hint="eastAsia" w:ascii="Times New Roman" w:hAnsi="Times New Roman" w:eastAsia="宋体" w:cs="宋体"/>
                <w:color w:val="000000"/>
                <w:sz w:val="21"/>
                <w:szCs w:val="21"/>
              </w:rPr>
              <w:t>该项目产生的污染物对环境影响较小，项目区域环境质量可达功能区要求。在采取本报表提出的各项环保措施与对策，落实环保</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rPr>
              <w:t>三同时</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rPr>
              <w:t>制度前提下，从环境保护的角度分析，该</w:t>
            </w:r>
            <w:r>
              <w:rPr>
                <w:rFonts w:hint="eastAsia" w:ascii="Times New Roman" w:hAnsi="Times New Roman" w:eastAsia="宋体" w:cs="宋体"/>
                <w:color w:val="000000"/>
                <w:sz w:val="21"/>
                <w:szCs w:val="21"/>
                <w:lang w:eastAsia="zh-CN"/>
              </w:rPr>
              <w:t>生产项目</w:t>
            </w:r>
            <w:r>
              <w:rPr>
                <w:rFonts w:hint="eastAsia" w:ascii="Times New Roman" w:hAnsi="Times New Roman" w:eastAsia="宋体" w:cs="宋体"/>
                <w:color w:val="000000"/>
                <w:sz w:val="21"/>
                <w:szCs w:val="21"/>
              </w:rPr>
              <w:t>的建设是可行的。</w:t>
            </w:r>
          </w:p>
        </w:tc>
      </w:tr>
    </w:tbl>
    <w:p w14:paraId="49F0EBD9">
      <w:pPr>
        <w:rPr>
          <w:rFonts w:ascii="宋体"/>
          <w:color w:val="000000"/>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0DDE192">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方正小标宋_GBK" w:hAnsi="黑体" w:eastAsia="方正小标宋_GBK"/>
          <w:snapToGrid w:val="0"/>
          <w:color w:val="000000"/>
          <w:sz w:val="38"/>
          <w:szCs w:val="38"/>
        </w:rPr>
      </w:pPr>
      <w:r>
        <w:rPr>
          <w:rFonts w:hint="eastAsia" w:ascii="黑体" w:hAnsi="黑体" w:eastAsia="黑体" w:cs="黑体"/>
          <w:snapToGrid w:val="0"/>
          <w:color w:val="000000"/>
          <w:sz w:val="38"/>
          <w:szCs w:val="38"/>
        </w:rPr>
        <w:t>建设项目污染物排放量汇总表</w:t>
      </w:r>
    </w:p>
    <w:tbl>
      <w:tblPr>
        <w:tblStyle w:val="20"/>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438"/>
        <w:gridCol w:w="1625"/>
        <w:gridCol w:w="1262"/>
        <w:gridCol w:w="1675"/>
        <w:gridCol w:w="1650"/>
        <w:gridCol w:w="1663"/>
        <w:gridCol w:w="1650"/>
        <w:gridCol w:w="1400"/>
      </w:tblGrid>
      <w:tr w14:paraId="1DF39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25" w:type="dxa"/>
            <w:tcBorders>
              <w:tl2br w:val="single" w:color="auto" w:sz="4" w:space="0"/>
            </w:tcBorders>
            <w:noWrap w:val="0"/>
            <w:tcMar>
              <w:left w:w="28" w:type="dxa"/>
              <w:right w:w="28" w:type="dxa"/>
            </w:tcMar>
            <w:vAlign w:val="center"/>
          </w:tcPr>
          <w:p w14:paraId="4BB466C3">
            <w:pPr>
              <w:pStyle w:val="30"/>
              <w:keepNext w:val="0"/>
              <w:keepLines w:val="0"/>
              <w:suppressLineNumbers w:val="0"/>
              <w:spacing w:before="0" w:beforeLines="0" w:beforeAutospacing="0" w:after="0" w:afterLines="0" w:afterAutospacing="0" w:line="240" w:lineRule="auto"/>
              <w:ind w:left="0" w:right="0"/>
              <w:jc w:val="right"/>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项目</w:t>
            </w:r>
          </w:p>
          <w:p w14:paraId="0A4A2194">
            <w:pPr>
              <w:pStyle w:val="30"/>
              <w:keepNext w:val="0"/>
              <w:keepLines w:val="0"/>
              <w:suppressLineNumbers w:val="0"/>
              <w:spacing w:before="0" w:beforeLines="0" w:beforeAutospacing="0" w:after="0" w:afterLines="0" w:afterAutospacing="0" w:line="240" w:lineRule="auto"/>
              <w:ind w:left="0" w:right="0"/>
              <w:jc w:val="left"/>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分类</w:t>
            </w:r>
          </w:p>
        </w:tc>
        <w:tc>
          <w:tcPr>
            <w:tcW w:w="1438" w:type="dxa"/>
            <w:noWrap w:val="0"/>
            <w:tcMar>
              <w:left w:w="28" w:type="dxa"/>
              <w:right w:w="28" w:type="dxa"/>
            </w:tcMar>
            <w:vAlign w:val="center"/>
          </w:tcPr>
          <w:p w14:paraId="6C5E86C3">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污染物名称</w:t>
            </w:r>
          </w:p>
        </w:tc>
        <w:tc>
          <w:tcPr>
            <w:tcW w:w="1625" w:type="dxa"/>
            <w:noWrap w:val="0"/>
            <w:tcMar>
              <w:left w:w="28" w:type="dxa"/>
              <w:right w:w="28" w:type="dxa"/>
            </w:tcMar>
            <w:vAlign w:val="center"/>
          </w:tcPr>
          <w:p w14:paraId="4505084F">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14:paraId="31D073BA">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1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color w:val="000000"/>
                <w:kern w:val="2"/>
                <w:szCs w:val="21"/>
              </w:rPr>
              <w:t>①</w:t>
            </w:r>
            <w:r>
              <w:rPr>
                <w:rFonts w:hint="default" w:ascii="Times New Roman" w:hAnsi="Times New Roman" w:eastAsia="黑体" w:cs="Times New Roman"/>
                <w:snapToGrid w:val="0"/>
                <w:color w:val="000000"/>
                <w:spacing w:val="-6"/>
                <w:kern w:val="21"/>
                <w:szCs w:val="21"/>
              </w:rPr>
              <w:fldChar w:fldCharType="end"/>
            </w:r>
          </w:p>
        </w:tc>
        <w:tc>
          <w:tcPr>
            <w:tcW w:w="1262" w:type="dxa"/>
            <w:noWrap w:val="0"/>
            <w:tcMar>
              <w:left w:w="28" w:type="dxa"/>
              <w:right w:w="28" w:type="dxa"/>
            </w:tcMar>
            <w:vAlign w:val="center"/>
          </w:tcPr>
          <w:p w14:paraId="68A35D62">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14:paraId="60C58653">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许可排放量</w:t>
            </w:r>
          </w:p>
          <w:p w14:paraId="21BF4DFE">
            <w:pPr>
              <w:pStyle w:val="30"/>
              <w:keepNext w:val="0"/>
              <w:keepLines w:val="0"/>
              <w:suppressLineNumbers w:val="0"/>
              <w:spacing w:before="0" w:beforeLines="0" w:beforeAutospacing="0" w:after="0" w:afterLines="0" w:afterAutospacing="0"/>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2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snapToGrid w:val="0"/>
                <w:color w:val="000000"/>
                <w:spacing w:val="-6"/>
                <w:kern w:val="21"/>
                <w:szCs w:val="21"/>
              </w:rPr>
              <w:t>②</w:t>
            </w:r>
            <w:r>
              <w:rPr>
                <w:rFonts w:hint="default" w:ascii="Times New Roman" w:hAnsi="Times New Roman" w:eastAsia="黑体" w:cs="Times New Roman"/>
                <w:snapToGrid w:val="0"/>
                <w:color w:val="000000"/>
                <w:spacing w:val="-6"/>
                <w:kern w:val="21"/>
                <w:szCs w:val="21"/>
              </w:rPr>
              <w:fldChar w:fldCharType="end"/>
            </w:r>
          </w:p>
        </w:tc>
        <w:tc>
          <w:tcPr>
            <w:tcW w:w="1675" w:type="dxa"/>
            <w:noWrap w:val="0"/>
            <w:tcMar>
              <w:left w:w="28" w:type="dxa"/>
              <w:right w:w="28" w:type="dxa"/>
            </w:tcMar>
            <w:vAlign w:val="center"/>
          </w:tcPr>
          <w:p w14:paraId="45BF41D4">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在建工程</w:t>
            </w:r>
          </w:p>
          <w:p w14:paraId="082ACB33">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3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color w:val="000000"/>
                <w:kern w:val="2"/>
                <w:szCs w:val="21"/>
              </w:rPr>
              <w:t>③</w:t>
            </w:r>
            <w:r>
              <w:rPr>
                <w:rFonts w:hint="default" w:ascii="Times New Roman" w:hAnsi="Times New Roman" w:eastAsia="黑体" w:cs="Times New Roman"/>
                <w:snapToGrid w:val="0"/>
                <w:color w:val="000000"/>
                <w:spacing w:val="-6"/>
                <w:kern w:val="21"/>
                <w:szCs w:val="21"/>
              </w:rPr>
              <w:fldChar w:fldCharType="end"/>
            </w:r>
          </w:p>
        </w:tc>
        <w:tc>
          <w:tcPr>
            <w:tcW w:w="1650" w:type="dxa"/>
            <w:noWrap w:val="0"/>
            <w:tcMar>
              <w:left w:w="28" w:type="dxa"/>
              <w:right w:w="28" w:type="dxa"/>
            </w:tcMar>
            <w:vAlign w:val="center"/>
          </w:tcPr>
          <w:p w14:paraId="46B1ABAB">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本项目</w:t>
            </w:r>
          </w:p>
          <w:p w14:paraId="36681C3F">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4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color w:val="000000"/>
                <w:kern w:val="2"/>
                <w:szCs w:val="21"/>
              </w:rPr>
              <w:t>④</w:t>
            </w:r>
            <w:r>
              <w:rPr>
                <w:rFonts w:hint="default" w:ascii="Times New Roman" w:hAnsi="Times New Roman" w:eastAsia="黑体" w:cs="Times New Roman"/>
                <w:snapToGrid w:val="0"/>
                <w:color w:val="000000"/>
                <w:spacing w:val="-6"/>
                <w:kern w:val="21"/>
                <w:szCs w:val="21"/>
              </w:rPr>
              <w:fldChar w:fldCharType="end"/>
            </w:r>
          </w:p>
        </w:tc>
        <w:tc>
          <w:tcPr>
            <w:tcW w:w="1663" w:type="dxa"/>
            <w:noWrap w:val="0"/>
            <w:tcMar>
              <w:left w:w="28" w:type="dxa"/>
              <w:right w:w="28" w:type="dxa"/>
            </w:tcMar>
            <w:vAlign w:val="center"/>
          </w:tcPr>
          <w:p w14:paraId="51F24807">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以新带老削减量</w:t>
            </w:r>
          </w:p>
          <w:p w14:paraId="697DDBCB">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（新建项目不填）</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5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color w:val="000000"/>
                <w:kern w:val="2"/>
                <w:szCs w:val="21"/>
              </w:rPr>
              <w:t>⑤</w:t>
            </w:r>
            <w:r>
              <w:rPr>
                <w:rFonts w:hint="default" w:ascii="Times New Roman" w:hAnsi="Times New Roman" w:eastAsia="黑体" w:cs="Times New Roman"/>
                <w:snapToGrid w:val="0"/>
                <w:color w:val="000000"/>
                <w:spacing w:val="-16"/>
                <w:kern w:val="21"/>
                <w:szCs w:val="21"/>
              </w:rPr>
              <w:fldChar w:fldCharType="end"/>
            </w:r>
          </w:p>
        </w:tc>
        <w:tc>
          <w:tcPr>
            <w:tcW w:w="1650" w:type="dxa"/>
            <w:noWrap w:val="0"/>
            <w:tcMar>
              <w:left w:w="28" w:type="dxa"/>
              <w:right w:w="28" w:type="dxa"/>
            </w:tcMar>
            <w:vAlign w:val="center"/>
          </w:tcPr>
          <w:p w14:paraId="1414F362">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本项目建成后</w:t>
            </w:r>
          </w:p>
          <w:p w14:paraId="139A45AD">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全厂排放量（固体废物产生量）</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6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color w:val="000000"/>
                <w:kern w:val="2"/>
                <w:szCs w:val="21"/>
              </w:rPr>
              <w:t>⑥</w:t>
            </w:r>
            <w:r>
              <w:rPr>
                <w:rFonts w:hint="default" w:ascii="Times New Roman" w:hAnsi="Times New Roman" w:eastAsia="黑体" w:cs="Times New Roman"/>
                <w:snapToGrid w:val="0"/>
                <w:color w:val="000000"/>
                <w:spacing w:val="-16"/>
                <w:kern w:val="21"/>
                <w:szCs w:val="21"/>
              </w:rPr>
              <w:fldChar w:fldCharType="end"/>
            </w:r>
          </w:p>
        </w:tc>
        <w:tc>
          <w:tcPr>
            <w:tcW w:w="1400" w:type="dxa"/>
            <w:noWrap w:val="0"/>
            <w:tcMar>
              <w:left w:w="28" w:type="dxa"/>
              <w:right w:w="28" w:type="dxa"/>
            </w:tcMar>
            <w:vAlign w:val="center"/>
          </w:tcPr>
          <w:p w14:paraId="1C5647B2">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变化量</w:t>
            </w:r>
          </w:p>
          <w:p w14:paraId="43970F66">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7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color w:val="000000"/>
                <w:kern w:val="2"/>
                <w:szCs w:val="21"/>
              </w:rPr>
              <w:t>⑦</w:t>
            </w:r>
            <w:r>
              <w:rPr>
                <w:rFonts w:hint="default" w:ascii="Times New Roman" w:hAnsi="Times New Roman" w:eastAsia="黑体" w:cs="Times New Roman"/>
                <w:snapToGrid w:val="0"/>
                <w:color w:val="000000"/>
                <w:spacing w:val="-6"/>
                <w:kern w:val="21"/>
                <w:szCs w:val="21"/>
              </w:rPr>
              <w:fldChar w:fldCharType="end"/>
            </w:r>
          </w:p>
        </w:tc>
      </w:tr>
      <w:tr w14:paraId="53565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noWrap w:val="0"/>
            <w:vAlign w:val="center"/>
          </w:tcPr>
          <w:p w14:paraId="708EE31D">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废气</w:t>
            </w:r>
          </w:p>
        </w:tc>
        <w:tc>
          <w:tcPr>
            <w:tcW w:w="1438" w:type="dxa"/>
            <w:noWrap w:val="0"/>
            <w:vAlign w:val="center"/>
          </w:tcPr>
          <w:p w14:paraId="5B02ED13">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r>
              <w:rPr>
                <w:rFonts w:hint="eastAsia" w:cs="Times New Roman"/>
                <w:snapToGrid w:val="0"/>
                <w:color w:val="000000"/>
                <w:kern w:val="21"/>
                <w:szCs w:val="21"/>
                <w:lang w:val="en-US" w:eastAsia="zh-CN"/>
              </w:rPr>
              <w:t>颗粒物</w:t>
            </w:r>
          </w:p>
        </w:tc>
        <w:tc>
          <w:tcPr>
            <w:tcW w:w="1625" w:type="dxa"/>
            <w:noWrap w:val="0"/>
            <w:vAlign w:val="center"/>
          </w:tcPr>
          <w:p w14:paraId="51E96E72">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p>
        </w:tc>
        <w:tc>
          <w:tcPr>
            <w:tcW w:w="1262" w:type="dxa"/>
            <w:noWrap w:val="0"/>
            <w:vAlign w:val="center"/>
          </w:tcPr>
          <w:p w14:paraId="2BEA19AB">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p>
        </w:tc>
        <w:tc>
          <w:tcPr>
            <w:tcW w:w="1675" w:type="dxa"/>
            <w:noWrap w:val="0"/>
            <w:vAlign w:val="center"/>
          </w:tcPr>
          <w:p w14:paraId="31B90BB6">
            <w:pPr>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000000"/>
                <w:kern w:val="21"/>
                <w:szCs w:val="21"/>
                <w:lang w:val="en-US" w:eastAsia="zh-CN"/>
              </w:rPr>
            </w:pPr>
          </w:p>
        </w:tc>
        <w:tc>
          <w:tcPr>
            <w:tcW w:w="1650" w:type="dxa"/>
            <w:noWrap w:val="0"/>
            <w:vAlign w:val="center"/>
          </w:tcPr>
          <w:p w14:paraId="510458BA">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napToGrid w:val="0"/>
                <w:color w:val="000000"/>
                <w:kern w:val="21"/>
                <w:szCs w:val="21"/>
                <w:lang w:val="en-US" w:eastAsia="zh-CN"/>
              </w:rPr>
            </w:pPr>
            <w:r>
              <w:rPr>
                <w:rFonts w:hint="eastAsia" w:cs="Times New Roman"/>
                <w:snapToGrid w:val="0"/>
                <w:color w:val="000000"/>
                <w:kern w:val="21"/>
                <w:szCs w:val="21"/>
                <w:lang w:val="en-US" w:eastAsia="zh-CN"/>
              </w:rPr>
              <w:t>0.2733t/a</w:t>
            </w:r>
          </w:p>
        </w:tc>
        <w:tc>
          <w:tcPr>
            <w:tcW w:w="1663" w:type="dxa"/>
            <w:noWrap w:val="0"/>
            <w:vAlign w:val="center"/>
          </w:tcPr>
          <w:p w14:paraId="0C007E4A">
            <w:pPr>
              <w:pStyle w:val="3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bCs/>
                <w:snapToGrid w:val="0"/>
                <w:color w:val="000000"/>
                <w:kern w:val="21"/>
                <w:sz w:val="21"/>
                <w:szCs w:val="21"/>
                <w:lang w:val="en-US" w:eastAsia="zh-CN" w:bidi="ar-SA"/>
              </w:rPr>
            </w:pPr>
          </w:p>
        </w:tc>
        <w:tc>
          <w:tcPr>
            <w:tcW w:w="1650" w:type="dxa"/>
            <w:noWrap w:val="0"/>
            <w:vAlign w:val="center"/>
          </w:tcPr>
          <w:p w14:paraId="47F70965">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napToGrid w:val="0"/>
                <w:color w:val="000000"/>
                <w:kern w:val="21"/>
                <w:sz w:val="21"/>
                <w:szCs w:val="21"/>
                <w:lang w:val="en-US" w:eastAsia="zh-CN" w:bidi="ar-SA"/>
              </w:rPr>
            </w:pPr>
            <w:r>
              <w:rPr>
                <w:rFonts w:hint="eastAsia" w:cs="Times New Roman"/>
                <w:snapToGrid w:val="0"/>
                <w:color w:val="000000"/>
                <w:kern w:val="21"/>
                <w:szCs w:val="21"/>
                <w:lang w:val="en-US" w:eastAsia="zh-CN"/>
              </w:rPr>
              <w:t>0.2733t/a</w:t>
            </w:r>
          </w:p>
        </w:tc>
        <w:tc>
          <w:tcPr>
            <w:tcW w:w="1400" w:type="dxa"/>
            <w:noWrap w:val="0"/>
            <w:vAlign w:val="center"/>
          </w:tcPr>
          <w:p w14:paraId="6DB075DA">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napToGrid w:val="0"/>
                <w:color w:val="000000"/>
                <w:kern w:val="21"/>
                <w:sz w:val="21"/>
                <w:szCs w:val="21"/>
                <w:lang w:val="en-US" w:eastAsia="zh-CN" w:bidi="ar-SA"/>
              </w:rPr>
            </w:pPr>
            <w:r>
              <w:rPr>
                <w:rFonts w:hint="eastAsia" w:cs="Times New Roman"/>
                <w:snapToGrid w:val="0"/>
                <w:color w:val="000000"/>
                <w:kern w:val="21"/>
                <w:szCs w:val="21"/>
                <w:lang w:val="en-US" w:eastAsia="zh-CN"/>
              </w:rPr>
              <w:t>+0.2733t/a</w:t>
            </w:r>
          </w:p>
        </w:tc>
      </w:tr>
      <w:tr w14:paraId="08B34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Merge w:val="restart"/>
            <w:noWrap w:val="0"/>
            <w:vAlign w:val="center"/>
          </w:tcPr>
          <w:p w14:paraId="2C985034">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bookmarkStart w:id="34" w:name="OLE_LINK27" w:colFirst="2" w:colLast="2"/>
            <w:r>
              <w:rPr>
                <w:rFonts w:hint="default" w:ascii="Times New Roman" w:hAnsi="Times New Roman" w:cs="Times New Roman"/>
                <w:snapToGrid w:val="0"/>
                <w:color w:val="000000"/>
                <w:kern w:val="21"/>
                <w:szCs w:val="21"/>
              </w:rPr>
              <w:t>废水</w:t>
            </w:r>
          </w:p>
        </w:tc>
        <w:tc>
          <w:tcPr>
            <w:tcW w:w="1438" w:type="dxa"/>
            <w:noWrap w:val="0"/>
            <w:vAlign w:val="center"/>
          </w:tcPr>
          <w:p w14:paraId="56A97D99">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COD</w:t>
            </w:r>
          </w:p>
        </w:tc>
        <w:tc>
          <w:tcPr>
            <w:tcW w:w="1625" w:type="dxa"/>
            <w:noWrap w:val="0"/>
            <w:vAlign w:val="center"/>
          </w:tcPr>
          <w:p w14:paraId="7BC83494">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p>
        </w:tc>
        <w:tc>
          <w:tcPr>
            <w:tcW w:w="1262" w:type="dxa"/>
            <w:noWrap w:val="0"/>
            <w:vAlign w:val="center"/>
          </w:tcPr>
          <w:p w14:paraId="532ED5E1">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p>
        </w:tc>
        <w:tc>
          <w:tcPr>
            <w:tcW w:w="1675" w:type="dxa"/>
            <w:noWrap w:val="0"/>
            <w:vAlign w:val="center"/>
          </w:tcPr>
          <w:p w14:paraId="02DE4060">
            <w:pPr>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000000"/>
                <w:kern w:val="21"/>
                <w:szCs w:val="21"/>
                <w:lang w:val="en-US" w:eastAsia="zh-CN"/>
              </w:rPr>
            </w:pPr>
          </w:p>
        </w:tc>
        <w:tc>
          <w:tcPr>
            <w:tcW w:w="1650" w:type="dxa"/>
            <w:noWrap w:val="0"/>
            <w:vAlign w:val="center"/>
          </w:tcPr>
          <w:p w14:paraId="3E585A7E">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0.2027t/a</w:t>
            </w:r>
          </w:p>
        </w:tc>
        <w:tc>
          <w:tcPr>
            <w:tcW w:w="1663" w:type="dxa"/>
            <w:noWrap w:val="0"/>
            <w:vAlign w:val="center"/>
          </w:tcPr>
          <w:p w14:paraId="460031F5">
            <w:pPr>
              <w:pStyle w:val="3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bCs/>
                <w:snapToGrid w:val="0"/>
                <w:color w:val="000000"/>
                <w:kern w:val="21"/>
                <w:sz w:val="21"/>
                <w:szCs w:val="21"/>
                <w:lang w:val="en-US" w:eastAsia="zh-CN" w:bidi="ar-SA"/>
              </w:rPr>
            </w:pPr>
          </w:p>
        </w:tc>
        <w:tc>
          <w:tcPr>
            <w:tcW w:w="1650" w:type="dxa"/>
            <w:noWrap w:val="0"/>
            <w:vAlign w:val="center"/>
          </w:tcPr>
          <w:p w14:paraId="19370CE7">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0.2027t/a</w:t>
            </w:r>
          </w:p>
        </w:tc>
        <w:tc>
          <w:tcPr>
            <w:tcW w:w="1400" w:type="dxa"/>
            <w:noWrap w:val="0"/>
            <w:vAlign w:val="center"/>
          </w:tcPr>
          <w:p w14:paraId="741A5F96">
            <w:pPr>
              <w:keepNext w:val="0"/>
              <w:keepLines w:val="0"/>
              <w:suppressLineNumbers w:val="0"/>
              <w:kinsoku/>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+0.2027t/a</w:t>
            </w:r>
          </w:p>
        </w:tc>
      </w:tr>
      <w:tr w14:paraId="0F4C9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Merge w:val="continue"/>
            <w:noWrap w:val="0"/>
            <w:vAlign w:val="center"/>
          </w:tcPr>
          <w:p w14:paraId="37457FA8">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p>
        </w:tc>
        <w:tc>
          <w:tcPr>
            <w:tcW w:w="1438" w:type="dxa"/>
            <w:noWrap w:val="0"/>
            <w:vAlign w:val="center"/>
          </w:tcPr>
          <w:p w14:paraId="53187A85">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r>
              <w:rPr>
                <w:rFonts w:hint="default"/>
                <w:color w:val="000000"/>
                <w:sz w:val="21"/>
                <w:szCs w:val="21"/>
                <w:lang w:val="en-US" w:eastAsia="zh-CN"/>
              </w:rPr>
              <w:t>NH</w:t>
            </w:r>
            <w:r>
              <w:rPr>
                <w:rFonts w:hint="default"/>
                <w:color w:val="000000"/>
                <w:sz w:val="21"/>
                <w:szCs w:val="21"/>
                <w:vertAlign w:val="subscript"/>
                <w:lang w:val="en-US" w:eastAsia="zh-CN"/>
              </w:rPr>
              <w:t>3</w:t>
            </w:r>
            <w:r>
              <w:rPr>
                <w:rFonts w:hint="default"/>
                <w:color w:val="000000"/>
                <w:sz w:val="21"/>
                <w:szCs w:val="21"/>
                <w:lang w:val="en-US" w:eastAsia="zh-CN"/>
              </w:rPr>
              <w:t>-N</w:t>
            </w:r>
          </w:p>
        </w:tc>
        <w:tc>
          <w:tcPr>
            <w:tcW w:w="1625" w:type="dxa"/>
            <w:noWrap w:val="0"/>
            <w:vAlign w:val="center"/>
          </w:tcPr>
          <w:p w14:paraId="4739508C">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p>
        </w:tc>
        <w:tc>
          <w:tcPr>
            <w:tcW w:w="1262" w:type="dxa"/>
            <w:noWrap w:val="0"/>
            <w:vAlign w:val="center"/>
          </w:tcPr>
          <w:p w14:paraId="2AC25AEF">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p>
        </w:tc>
        <w:tc>
          <w:tcPr>
            <w:tcW w:w="1675" w:type="dxa"/>
            <w:noWrap w:val="0"/>
            <w:vAlign w:val="center"/>
          </w:tcPr>
          <w:p w14:paraId="210B8758">
            <w:pPr>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000000"/>
                <w:kern w:val="21"/>
                <w:szCs w:val="21"/>
                <w:lang w:val="en-US" w:eastAsia="zh-CN"/>
              </w:rPr>
            </w:pPr>
          </w:p>
        </w:tc>
        <w:tc>
          <w:tcPr>
            <w:tcW w:w="1650" w:type="dxa"/>
            <w:noWrap w:val="0"/>
            <w:vAlign w:val="center"/>
          </w:tcPr>
          <w:p w14:paraId="671C5879">
            <w:pPr>
              <w:keepNext w:val="0"/>
              <w:keepLines w:val="0"/>
              <w:suppressLineNumbers w:val="0"/>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0.0203t/a</w:t>
            </w:r>
          </w:p>
        </w:tc>
        <w:tc>
          <w:tcPr>
            <w:tcW w:w="1663" w:type="dxa"/>
            <w:noWrap w:val="0"/>
            <w:vAlign w:val="center"/>
          </w:tcPr>
          <w:p w14:paraId="64D49ADE">
            <w:pPr>
              <w:pStyle w:val="3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bCs/>
                <w:snapToGrid w:val="0"/>
                <w:color w:val="000000"/>
                <w:kern w:val="21"/>
                <w:sz w:val="21"/>
                <w:szCs w:val="21"/>
                <w:lang w:val="en-US" w:eastAsia="zh-CN" w:bidi="ar-SA"/>
              </w:rPr>
            </w:pPr>
          </w:p>
        </w:tc>
        <w:tc>
          <w:tcPr>
            <w:tcW w:w="1650" w:type="dxa"/>
            <w:noWrap w:val="0"/>
            <w:vAlign w:val="center"/>
          </w:tcPr>
          <w:p w14:paraId="6746316F">
            <w:pPr>
              <w:keepNext w:val="0"/>
              <w:keepLines w:val="0"/>
              <w:suppressLineNumbers w:val="0"/>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0.0203t/a</w:t>
            </w:r>
          </w:p>
        </w:tc>
        <w:tc>
          <w:tcPr>
            <w:tcW w:w="1400" w:type="dxa"/>
            <w:noWrap w:val="0"/>
            <w:vAlign w:val="center"/>
          </w:tcPr>
          <w:p w14:paraId="7CDFE6CE">
            <w:pPr>
              <w:keepNext w:val="0"/>
              <w:keepLines w:val="0"/>
              <w:suppressLineNumbers w:val="0"/>
              <w:bidi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+0.0203t/a</w:t>
            </w:r>
          </w:p>
        </w:tc>
      </w:tr>
      <w:bookmarkEnd w:id="34"/>
      <w:tr w14:paraId="0CFB9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Merge w:val="restart"/>
            <w:noWrap w:val="0"/>
            <w:vAlign w:val="center"/>
          </w:tcPr>
          <w:p w14:paraId="0FE456CC">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bookmarkStart w:id="35" w:name="OLE_LINK24" w:colFirst="5" w:colLast="5"/>
            <w:r>
              <w:rPr>
                <w:rFonts w:hint="default" w:ascii="Times New Roman" w:hAnsi="Times New Roman" w:cs="Times New Roman"/>
                <w:snapToGrid w:val="0"/>
                <w:color w:val="000000"/>
                <w:kern w:val="21"/>
                <w:szCs w:val="21"/>
              </w:rPr>
              <w:t>一般工业</w:t>
            </w:r>
          </w:p>
          <w:p w14:paraId="473F62CE">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固体废物</w:t>
            </w:r>
          </w:p>
        </w:tc>
        <w:tc>
          <w:tcPr>
            <w:tcW w:w="1438" w:type="dxa"/>
            <w:noWrap w:val="0"/>
            <w:vAlign w:val="center"/>
          </w:tcPr>
          <w:p w14:paraId="21C789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收集粉尘</w:t>
            </w:r>
          </w:p>
        </w:tc>
        <w:tc>
          <w:tcPr>
            <w:tcW w:w="1625" w:type="dxa"/>
            <w:noWrap w:val="0"/>
            <w:vAlign w:val="center"/>
          </w:tcPr>
          <w:p w14:paraId="4602F339">
            <w:pPr>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000000"/>
                <w:kern w:val="21"/>
                <w:sz w:val="21"/>
                <w:szCs w:val="21"/>
                <w:lang w:val="en-US" w:eastAsia="zh-CN" w:bidi="ar-SA"/>
              </w:rPr>
            </w:pPr>
          </w:p>
        </w:tc>
        <w:tc>
          <w:tcPr>
            <w:tcW w:w="1262" w:type="dxa"/>
            <w:noWrap w:val="0"/>
            <w:vAlign w:val="center"/>
          </w:tcPr>
          <w:p w14:paraId="7A377DCA">
            <w:pPr>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000000"/>
                <w:kern w:val="21"/>
                <w:sz w:val="21"/>
                <w:szCs w:val="21"/>
                <w:lang w:val="en-US" w:eastAsia="zh-CN" w:bidi="ar-SA"/>
              </w:rPr>
            </w:pPr>
          </w:p>
        </w:tc>
        <w:tc>
          <w:tcPr>
            <w:tcW w:w="1675" w:type="dxa"/>
            <w:noWrap w:val="0"/>
            <w:vAlign w:val="center"/>
          </w:tcPr>
          <w:p w14:paraId="2AE73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000000"/>
                <w:kern w:val="21"/>
                <w:sz w:val="21"/>
                <w:szCs w:val="21"/>
                <w:lang w:val="en-US" w:eastAsia="zh-CN" w:bidi="ar-SA"/>
              </w:rPr>
            </w:pPr>
          </w:p>
        </w:tc>
        <w:tc>
          <w:tcPr>
            <w:tcW w:w="1650" w:type="dxa"/>
            <w:noWrap w:val="0"/>
            <w:vAlign w:val="center"/>
          </w:tcPr>
          <w:p w14:paraId="74DD1A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2.5267t/a</w:t>
            </w:r>
          </w:p>
        </w:tc>
        <w:tc>
          <w:tcPr>
            <w:tcW w:w="1663" w:type="dxa"/>
            <w:noWrap w:val="0"/>
            <w:vAlign w:val="center"/>
          </w:tcPr>
          <w:p w14:paraId="3602F3DB">
            <w:pPr>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000000"/>
                <w:kern w:val="21"/>
                <w:sz w:val="21"/>
                <w:szCs w:val="21"/>
                <w:lang w:val="en-US" w:eastAsia="zh-CN" w:bidi="ar-SA"/>
              </w:rPr>
            </w:pPr>
          </w:p>
        </w:tc>
        <w:tc>
          <w:tcPr>
            <w:tcW w:w="1650" w:type="dxa"/>
            <w:noWrap w:val="0"/>
            <w:vAlign w:val="center"/>
          </w:tcPr>
          <w:p w14:paraId="17301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2.5267t/a</w:t>
            </w:r>
          </w:p>
        </w:tc>
        <w:tc>
          <w:tcPr>
            <w:tcW w:w="1400" w:type="dxa"/>
            <w:noWrap w:val="0"/>
            <w:vAlign w:val="center"/>
          </w:tcPr>
          <w:p w14:paraId="728BB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+2.5267t/a</w:t>
            </w:r>
          </w:p>
        </w:tc>
      </w:tr>
      <w:tr w14:paraId="3E2AB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Merge w:val="continue"/>
            <w:noWrap w:val="0"/>
            <w:vAlign w:val="center"/>
          </w:tcPr>
          <w:p w14:paraId="14A6D9BD">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p>
        </w:tc>
        <w:tc>
          <w:tcPr>
            <w:tcW w:w="1438" w:type="dxa"/>
            <w:noWrap w:val="0"/>
            <w:vAlign w:val="center"/>
          </w:tcPr>
          <w:p w14:paraId="0F7816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边角料</w:t>
            </w:r>
          </w:p>
        </w:tc>
        <w:tc>
          <w:tcPr>
            <w:tcW w:w="1625" w:type="dxa"/>
            <w:noWrap w:val="0"/>
            <w:vAlign w:val="center"/>
          </w:tcPr>
          <w:p w14:paraId="289BA7F7">
            <w:pPr>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000000"/>
                <w:kern w:val="21"/>
                <w:sz w:val="21"/>
                <w:szCs w:val="21"/>
                <w:lang w:val="en-US" w:eastAsia="zh-CN" w:bidi="ar-SA"/>
              </w:rPr>
            </w:pPr>
          </w:p>
        </w:tc>
        <w:tc>
          <w:tcPr>
            <w:tcW w:w="1262" w:type="dxa"/>
            <w:noWrap w:val="0"/>
            <w:vAlign w:val="center"/>
          </w:tcPr>
          <w:p w14:paraId="030E63CC">
            <w:pPr>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000000"/>
                <w:kern w:val="21"/>
                <w:sz w:val="21"/>
                <w:szCs w:val="21"/>
                <w:lang w:val="en-US" w:eastAsia="zh-CN" w:bidi="ar-SA"/>
              </w:rPr>
            </w:pPr>
          </w:p>
        </w:tc>
        <w:tc>
          <w:tcPr>
            <w:tcW w:w="1675" w:type="dxa"/>
            <w:noWrap w:val="0"/>
            <w:vAlign w:val="center"/>
          </w:tcPr>
          <w:p w14:paraId="525CD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000000"/>
                <w:kern w:val="21"/>
                <w:sz w:val="21"/>
                <w:szCs w:val="21"/>
                <w:lang w:val="en-US" w:eastAsia="zh-CN" w:bidi="ar-SA"/>
              </w:rPr>
            </w:pPr>
          </w:p>
        </w:tc>
        <w:tc>
          <w:tcPr>
            <w:tcW w:w="1650" w:type="dxa"/>
            <w:noWrap w:val="0"/>
            <w:vAlign w:val="center"/>
          </w:tcPr>
          <w:p w14:paraId="15B76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30</w:t>
            </w:r>
            <w:r>
              <w:rPr>
                <w:rFonts w:hint="eastAsia" w:cs="Times New Roman"/>
                <w:color w:val="000000"/>
                <w:kern w:val="2"/>
                <w:sz w:val="21"/>
                <w:szCs w:val="21"/>
                <w:lang w:val="en-US" w:eastAsia="zh-CN" w:bidi="ar-SA"/>
              </w:rPr>
              <w:t>t/a</w:t>
            </w:r>
          </w:p>
        </w:tc>
        <w:tc>
          <w:tcPr>
            <w:tcW w:w="1663" w:type="dxa"/>
            <w:noWrap w:val="0"/>
            <w:vAlign w:val="center"/>
          </w:tcPr>
          <w:p w14:paraId="5AF0D333">
            <w:pPr>
              <w:keepNext w:val="0"/>
              <w:keepLines w:val="0"/>
              <w:suppressLineNumbers w:val="0"/>
              <w:spacing w:before="0" w:beforeLines="0" w:beforeAutospacing="0" w:after="0" w:afterLines="0" w:afterAutospacing="0" w:line="240" w:lineRule="auto"/>
              <w:ind w:left="0" w:leftChars="0" w:right="0" w:rightChars="0"/>
              <w:jc w:val="center"/>
              <w:rPr>
                <w:rFonts w:hint="eastAsia" w:ascii="Times New Roman" w:hAnsi="Times New Roman" w:eastAsia="宋体" w:cs="Times New Roman"/>
                <w:snapToGrid w:val="0"/>
                <w:color w:val="000000"/>
                <w:kern w:val="21"/>
                <w:sz w:val="21"/>
                <w:szCs w:val="21"/>
                <w:lang w:val="en-US" w:eastAsia="zh-CN" w:bidi="ar-SA"/>
              </w:rPr>
            </w:pPr>
          </w:p>
        </w:tc>
        <w:tc>
          <w:tcPr>
            <w:tcW w:w="1650" w:type="dxa"/>
            <w:noWrap w:val="0"/>
            <w:vAlign w:val="center"/>
          </w:tcPr>
          <w:p w14:paraId="061FD3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30</w:t>
            </w:r>
            <w:r>
              <w:rPr>
                <w:rFonts w:hint="eastAsia" w:cs="Times New Roman"/>
                <w:color w:val="000000"/>
                <w:kern w:val="2"/>
                <w:sz w:val="21"/>
                <w:szCs w:val="21"/>
                <w:lang w:val="en-US" w:eastAsia="zh-CN" w:bidi="ar-SA"/>
              </w:rPr>
              <w:t>t/a</w:t>
            </w:r>
          </w:p>
        </w:tc>
        <w:tc>
          <w:tcPr>
            <w:tcW w:w="1400" w:type="dxa"/>
            <w:noWrap w:val="0"/>
            <w:vAlign w:val="center"/>
          </w:tcPr>
          <w:p w14:paraId="128441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+30</w:t>
            </w:r>
            <w:r>
              <w:rPr>
                <w:rFonts w:hint="eastAsia" w:cs="Times New Roman"/>
                <w:color w:val="000000"/>
                <w:kern w:val="2"/>
                <w:sz w:val="21"/>
                <w:szCs w:val="21"/>
                <w:lang w:val="en-US" w:eastAsia="zh-CN" w:bidi="ar-SA"/>
              </w:rPr>
              <w:t>t/a</w:t>
            </w:r>
          </w:p>
        </w:tc>
      </w:tr>
      <w:tr w14:paraId="0E5D7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vMerge w:val="continue"/>
            <w:noWrap w:val="0"/>
            <w:vAlign w:val="center"/>
          </w:tcPr>
          <w:p w14:paraId="3A64A287">
            <w:pPr>
              <w:pStyle w:val="3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p>
        </w:tc>
        <w:tc>
          <w:tcPr>
            <w:tcW w:w="1438" w:type="dxa"/>
            <w:noWrap w:val="0"/>
            <w:vAlign w:val="center"/>
          </w:tcPr>
          <w:p w14:paraId="4C65B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废包装材料</w:t>
            </w:r>
          </w:p>
        </w:tc>
        <w:tc>
          <w:tcPr>
            <w:tcW w:w="1625" w:type="dxa"/>
            <w:noWrap w:val="0"/>
            <w:vAlign w:val="center"/>
          </w:tcPr>
          <w:p w14:paraId="107B0607">
            <w:pPr>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000000"/>
                <w:kern w:val="21"/>
                <w:sz w:val="21"/>
                <w:szCs w:val="21"/>
                <w:lang w:val="en-US" w:eastAsia="zh-CN" w:bidi="ar-SA"/>
              </w:rPr>
            </w:pPr>
          </w:p>
        </w:tc>
        <w:tc>
          <w:tcPr>
            <w:tcW w:w="1262" w:type="dxa"/>
            <w:noWrap w:val="0"/>
            <w:vAlign w:val="center"/>
          </w:tcPr>
          <w:p w14:paraId="3ED1E666">
            <w:pPr>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000000"/>
                <w:kern w:val="21"/>
                <w:sz w:val="21"/>
                <w:szCs w:val="21"/>
                <w:lang w:val="en-US" w:eastAsia="zh-CN" w:bidi="ar-SA"/>
              </w:rPr>
            </w:pPr>
          </w:p>
        </w:tc>
        <w:tc>
          <w:tcPr>
            <w:tcW w:w="1675" w:type="dxa"/>
            <w:noWrap w:val="0"/>
            <w:vAlign w:val="center"/>
          </w:tcPr>
          <w:p w14:paraId="47269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000000"/>
                <w:kern w:val="21"/>
                <w:sz w:val="21"/>
                <w:szCs w:val="21"/>
                <w:lang w:val="en-US" w:eastAsia="zh-CN" w:bidi="ar-SA"/>
              </w:rPr>
            </w:pPr>
          </w:p>
        </w:tc>
        <w:tc>
          <w:tcPr>
            <w:tcW w:w="1650" w:type="dxa"/>
            <w:noWrap w:val="0"/>
            <w:vAlign w:val="center"/>
          </w:tcPr>
          <w:p w14:paraId="206C4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2t/a</w:t>
            </w:r>
          </w:p>
        </w:tc>
        <w:tc>
          <w:tcPr>
            <w:tcW w:w="1663" w:type="dxa"/>
            <w:noWrap w:val="0"/>
            <w:vAlign w:val="center"/>
          </w:tcPr>
          <w:p w14:paraId="4C761813">
            <w:pPr>
              <w:keepNext w:val="0"/>
              <w:keepLines w:val="0"/>
              <w:suppressLineNumbers w:val="0"/>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000000"/>
                <w:kern w:val="21"/>
                <w:sz w:val="21"/>
                <w:szCs w:val="21"/>
                <w:lang w:val="en-US" w:eastAsia="zh-CN" w:bidi="ar-SA"/>
              </w:rPr>
            </w:pPr>
          </w:p>
        </w:tc>
        <w:tc>
          <w:tcPr>
            <w:tcW w:w="1650" w:type="dxa"/>
            <w:noWrap w:val="0"/>
            <w:vAlign w:val="center"/>
          </w:tcPr>
          <w:p w14:paraId="19A43E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2t/a</w:t>
            </w:r>
          </w:p>
        </w:tc>
        <w:tc>
          <w:tcPr>
            <w:tcW w:w="1400" w:type="dxa"/>
            <w:noWrap w:val="0"/>
            <w:vAlign w:val="center"/>
          </w:tcPr>
          <w:p w14:paraId="379663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 w:leftChars="-30" w:right="-63" w:rightChars="-3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+2t/a</w:t>
            </w:r>
          </w:p>
        </w:tc>
      </w:tr>
      <w:bookmarkEnd w:id="35"/>
    </w:tbl>
    <w:p w14:paraId="447CEEE1">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color w:val="000000"/>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color w:val="000000"/>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color w:val="000000"/>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color w:val="000000"/>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p>
    <w:sectPr>
      <w:footerReference r:id="rId8"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 w:name="Plotter">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01C4">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C4B46">
    <w:pPr>
      <w:pStyle w:val="1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9C57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d9p86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EL+lhLNFFp++vH9&#10;9PPh9OsbiZeQqLV+hsh7i9jQvTMdwod7j8vIvKucir/gROCHwMeLwKILhMdH08l0msPF4RsOwM8e&#10;n1vnw3thFIlGQR06mIRlh40PfegQErNps26kTF2UmrQFvXr9Jk8PLh6ASx1jRZqHM0yk1JcerdBt&#10;uzPPrSmPoOlMPyve8nWDUjbMhzvmMBwoH+sTbvGppEFKc7YoqY37+q/7GI+ewUtJi2ErqMZuUSI/&#10;aPQSgGEw3GBsB0Pv1Y3B9I6xlpYnEw9ckINZOaO+YKeWMQdcTHNkKmgYzJvQDzx2kovlMgXtrWt2&#10;df8Ak2hZ2Oh7y2OaKJW3y32AtEnxKFCvCjoVD5jF1LPz3sRh//Ocoh7/K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bHfafOgIAAHMEAAAOAAAAAAAAAAEAIAAAAB8BAABkcnMvZTJvRG9j&#10;LnhtbFBLBQYAAAAABgAGAFkBAADLBQAAAAA=&#10;">
              <v:fill on="f" focussize="0,0"/>
              <v:stroke on="f" weight="0.5pt"/>
              <v:imagedata o:title=""/>
              <o:lock v:ext="edit" aspectratio="f"/>
              <v:textbox inset="0mm,0mm,0mm,0mm" style="mso-fit-shape-to-text:t;">
                <w:txbxContent>
                  <w:p w14:paraId="219C57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0FB67">
    <w:pPr>
      <w:pStyle w:val="1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2B8A95">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TIPKc4BAACr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cslZ05YevLLzx+XX38uv7+z&#10;FCSJeo8VVd57qo3DOxiofI4jBRPzoQ02fYkTozwJfL4KrIbIZLq0Xq3XJaUk5WaH8IuH6z5gfK/A&#10;smTUPNALZmHF6SPGsXQuSd0c3Glj8isa90+AMMeIymsw3U5MxomTFYf9MNHbQ3Mmdj2tQs0dbT5n&#10;5oMjpdPWzEaYjf1sHH3Qhy6vVeqO/vYYaaQ8aeowwhLD5NAbZq7TvqUleeznqod/bP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UyDynOAQAAqwMAAA4AAAAAAAAAAQAgAAAAHgEAAGRycy9l&#10;Mm9Eb2MueG1sUEsFBgAAAAAGAAYAWQEAAF4FAAAAAA==&#10;">
              <v:fill on="f" focussize="0,0"/>
              <v:stroke on="f"/>
              <v:imagedata o:title=""/>
              <o:lock v:ext="edit" aspectratio="f"/>
              <v:textbox inset="0mm,0mm,0mm,0mm" style="mso-fit-shape-to-text:t;">
                <w:txbxContent>
                  <w:p w14:paraId="052B8A95">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25E0">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2EC74"/>
    <w:multiLevelType w:val="singleLevel"/>
    <w:tmpl w:val="CD12EC74"/>
    <w:lvl w:ilvl="0" w:tentative="0">
      <w:start w:val="6"/>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pStyle w:val="10"/>
      <w:lvlText w:val="表%1    "/>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D0CFA2C"/>
    <w:multiLevelType w:val="singleLevel"/>
    <w:tmpl w:val="4D0CFA2C"/>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NjA3YTY5NDY2MTE5NjFjNWUxZTljODY2Y2Q4MzIifQ=="/>
  </w:docVars>
  <w:rsids>
    <w:rsidRoot w:val="401C44BC"/>
    <w:rsid w:val="195919B3"/>
    <w:rsid w:val="1E7E3BAC"/>
    <w:rsid w:val="30BC4B77"/>
    <w:rsid w:val="39212B7E"/>
    <w:rsid w:val="3C7E5344"/>
    <w:rsid w:val="401C44BC"/>
    <w:rsid w:val="477366DE"/>
    <w:rsid w:val="4AC968A4"/>
    <w:rsid w:val="7795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8">
    <w:name w:val="heading 3"/>
    <w:basedOn w:val="1"/>
    <w:next w:val="1"/>
    <w:qFormat/>
    <w:uiPriority w:val="0"/>
    <w:pPr>
      <w:keepNext/>
      <w:keepLines/>
      <w:outlineLvl w:val="2"/>
    </w:pPr>
    <w:rPr>
      <w:rFonts w:ascii="Times New Roman" w:hAnsi="Times New Roman" w:eastAsia="宋体"/>
      <w:b/>
      <w:bCs/>
      <w:szCs w:val="32"/>
    </w:rPr>
  </w:style>
  <w:style w:type="character" w:default="1" w:styleId="22">
    <w:name w:val="Default Paragraph Font"/>
    <w:semiHidden/>
    <w:uiPriority w:val="0"/>
  </w:style>
  <w:style w:type="table" w:default="1" w:styleId="20">
    <w:name w:val="Normal Table"/>
    <w:semiHidden/>
    <w:uiPriority w:val="0"/>
    <w:tblPr>
      <w:tblCellMar>
        <w:top w:w="0" w:type="dxa"/>
        <w:left w:w="108" w:type="dxa"/>
        <w:bottom w:w="0" w:type="dxa"/>
        <w:right w:w="108" w:type="dxa"/>
      </w:tblCellMar>
    </w:tblPr>
  </w:style>
  <w:style w:type="paragraph" w:customStyle="1" w:styleId="2">
    <w:name w:val="Default"/>
    <w:basedOn w:val="3"/>
    <w:next w:val="5"/>
    <w:qFormat/>
    <w:uiPriority w:val="99"/>
    <w:pPr>
      <w:autoSpaceDE w:val="0"/>
      <w:autoSpaceDN w:val="0"/>
      <w:adjustRightInd w:val="0"/>
    </w:pPr>
    <w:rPr>
      <w:rFonts w:ascii="仿宋" w:hAnsi="Times New Roman" w:eastAsia="仿宋" w:cs="Times New Roman"/>
      <w:color w:val="000000"/>
      <w:sz w:val="24"/>
    </w:rPr>
  </w:style>
  <w:style w:type="paragraph" w:customStyle="1" w:styleId="3">
    <w:name w:val="纯文本1"/>
    <w:basedOn w:val="1"/>
    <w:next w:val="4"/>
    <w:qFormat/>
    <w:uiPriority w:val="99"/>
    <w:rPr>
      <w:rFonts w:ascii="宋体" w:hAnsi="Courier New" w:eastAsia="宋体" w:cs="黑体"/>
      <w:szCs w:val="21"/>
    </w:rPr>
  </w:style>
  <w:style w:type="paragraph" w:styleId="4">
    <w:name w:val="Plain Text"/>
    <w:basedOn w:val="1"/>
    <w:qFormat/>
    <w:uiPriority w:val="0"/>
    <w:pPr>
      <w:spacing w:line="240" w:lineRule="atLeast"/>
      <w:jc w:val="center"/>
    </w:pPr>
    <w:rPr>
      <w:rFonts w:ascii="宋体" w:hAnsi="宋体"/>
      <w:color w:val="000000"/>
      <w:szCs w:val="20"/>
    </w:rPr>
  </w:style>
  <w:style w:type="paragraph" w:customStyle="1" w:styleId="5">
    <w:name w:val="样式35"/>
    <w:next w:val="6"/>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6">
    <w:name w:val="font6"/>
    <w:basedOn w:val="1"/>
    <w:next w:val="7"/>
    <w:qFormat/>
    <w:uiPriority w:val="99"/>
    <w:pPr>
      <w:widowControl/>
      <w:spacing w:before="100" w:beforeAutospacing="1" w:after="100" w:afterAutospacing="1"/>
      <w:jc w:val="left"/>
    </w:pPr>
    <w:rPr>
      <w:rFonts w:ascii="宋体" w:hAnsi="宋体" w:eastAsia="宋体" w:cs="宋体"/>
      <w:kern w:val="0"/>
      <w:sz w:val="20"/>
      <w:szCs w:val="20"/>
    </w:rPr>
  </w:style>
  <w:style w:type="paragraph" w:styleId="7">
    <w:name w:val="toc 2"/>
    <w:basedOn w:val="1"/>
    <w:next w:val="1"/>
    <w:qFormat/>
    <w:uiPriority w:val="39"/>
    <w:pPr>
      <w:ind w:left="420" w:leftChars="200"/>
    </w:pPr>
    <w:rPr>
      <w:rFonts w:ascii="等线" w:hAnsi="等线" w:eastAsia="等线"/>
    </w:rPr>
  </w:style>
  <w:style w:type="paragraph" w:styleId="9">
    <w:name w:val="Normal Indent"/>
    <w:basedOn w:val="1"/>
    <w:next w:val="1"/>
    <w:qFormat/>
    <w:uiPriority w:val="0"/>
    <w:pPr>
      <w:spacing w:beforeLines="50"/>
      <w:jc w:val="center"/>
    </w:pPr>
    <w:rPr>
      <w:rFonts w:ascii="黑体" w:eastAsia="黑体" w:cs="Plotter"/>
      <w:sz w:val="24"/>
      <w:szCs w:val="20"/>
    </w:rPr>
  </w:style>
  <w:style w:type="paragraph" w:styleId="10">
    <w:name w:val="caption"/>
    <w:basedOn w:val="1"/>
    <w:next w:val="1"/>
    <w:qFormat/>
    <w:uiPriority w:val="0"/>
    <w:pPr>
      <w:numPr>
        <w:ilvl w:val="0"/>
        <w:numId w:val="1"/>
      </w:numPr>
      <w:jc w:val="center"/>
    </w:pPr>
    <w:rPr>
      <w:rFonts w:ascii="Arial" w:hAnsi="Arial" w:eastAsia="宋体" w:cs="Arial"/>
      <w:sz w:val="24"/>
    </w:rPr>
  </w:style>
  <w:style w:type="paragraph" w:styleId="11">
    <w:name w:val="annotation text"/>
    <w:basedOn w:val="1"/>
    <w:qFormat/>
    <w:uiPriority w:val="0"/>
    <w:pPr>
      <w:jc w:val="left"/>
    </w:pPr>
  </w:style>
  <w:style w:type="paragraph" w:styleId="12">
    <w:name w:val="Body Text"/>
    <w:basedOn w:val="1"/>
    <w:next w:val="13"/>
    <w:qFormat/>
    <w:uiPriority w:val="1"/>
    <w:rPr>
      <w:szCs w:val="24"/>
    </w:rPr>
  </w:style>
  <w:style w:type="paragraph" w:styleId="13">
    <w:name w:val="Date"/>
    <w:basedOn w:val="1"/>
    <w:next w:val="1"/>
    <w:qFormat/>
    <w:uiPriority w:val="0"/>
    <w:pPr>
      <w:ind w:left="100" w:leftChars="2500"/>
    </w:pPr>
    <w:rPr>
      <w:kern w:val="0"/>
      <w:sz w:val="24"/>
      <w:szCs w:val="20"/>
    </w:rPr>
  </w:style>
  <w:style w:type="paragraph" w:styleId="14">
    <w:name w:val="Body Text Indent"/>
    <w:basedOn w:val="1"/>
    <w:qFormat/>
    <w:uiPriority w:val="0"/>
    <w:pPr>
      <w:spacing w:after="120" w:afterAutospacing="0"/>
      <w:ind w:left="420" w:leftChars="200"/>
    </w:pPr>
  </w:style>
  <w:style w:type="paragraph" w:styleId="15">
    <w:name w:val="footer"/>
    <w:basedOn w:val="1"/>
    <w:qFormat/>
    <w:uiPriority w:val="99"/>
    <w:pPr>
      <w:tabs>
        <w:tab w:val="center" w:pos="4153"/>
        <w:tab w:val="right" w:pos="8306"/>
      </w:tabs>
      <w:snapToGrid w:val="0"/>
      <w:jc w:val="left"/>
    </w:pPr>
    <w:rPr>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Body Text 2"/>
    <w:basedOn w:val="1"/>
    <w:unhideWhenUsed/>
    <w:qFormat/>
    <w:uiPriority w:val="0"/>
    <w:pPr>
      <w:spacing w:after="120" w:line="480" w:lineRule="auto"/>
    </w:p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Body Text First Indent"/>
    <w:basedOn w:val="12"/>
    <w:next w:val="1"/>
    <w:qFormat/>
    <w:uiPriority w:val="0"/>
    <w:pPr>
      <w:spacing w:after="120" w:line="240" w:lineRule="auto"/>
      <w:ind w:firstLine="420" w:firstLineChars="100"/>
    </w:pPr>
    <w:rPr>
      <w:spacing w:val="0"/>
      <w:sz w:val="21"/>
      <w:szCs w:val="24"/>
    </w:rPr>
  </w:style>
  <w:style w:type="table" w:styleId="21">
    <w:name w:val="Table Grid"/>
    <w:basedOn w:val="2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0正文"/>
    <w:basedOn w:val="14"/>
    <w:qFormat/>
    <w:uiPriority w:val="0"/>
    <w:pPr>
      <w:snapToGrid w:val="0"/>
      <w:spacing w:line="360" w:lineRule="auto"/>
      <w:ind w:left="0" w:leftChars="0" w:firstLine="0" w:firstLineChars="0"/>
      <w:jc w:val="center"/>
    </w:pPr>
    <w:rPr>
      <w:rFonts w:ascii="Times New Roman" w:hAnsi="Times New Roman" w:eastAsia="宋体" w:cs="Times New Roman"/>
      <w:sz w:val="24"/>
      <w:szCs w:val="24"/>
    </w:rPr>
  </w:style>
  <w:style w:type="paragraph" w:customStyle="1" w:styleId="25">
    <w:name w:val="表格内容"/>
    <w:basedOn w:val="1"/>
    <w:qFormat/>
    <w:uiPriority w:val="0"/>
    <w:pPr>
      <w:overflowPunct w:val="0"/>
      <w:adjustRightInd w:val="0"/>
      <w:snapToGrid w:val="0"/>
      <w:spacing w:line="340" w:lineRule="exact"/>
      <w:ind w:firstLine="0" w:firstLineChars="0"/>
      <w:jc w:val="center"/>
      <w:textAlignment w:val="baseline"/>
    </w:pPr>
    <w:rPr>
      <w:rFonts w:ascii="Times New Roman" w:hAnsi="Times New Roman" w:cs="Times New Roman"/>
      <w:sz w:val="21"/>
      <w:szCs w:val="20"/>
    </w:rPr>
  </w:style>
  <w:style w:type="paragraph" w:customStyle="1" w:styleId="26">
    <w:name w:val="表格文字11"/>
    <w:basedOn w:val="1"/>
    <w:qFormat/>
    <w:uiPriority w:val="0"/>
    <w:pPr>
      <w:jc w:val="center"/>
    </w:pPr>
    <w:rPr>
      <w:rFonts w:ascii="Times New Roman" w:hAnsi="Times New Roman" w:eastAsia="宋体" w:cs="宋体"/>
      <w:color w:val="000000"/>
      <w:sz w:val="24"/>
    </w:rPr>
  </w:style>
  <w:style w:type="paragraph" w:customStyle="1" w:styleId="27">
    <w:name w:val="表格正文"/>
    <w:basedOn w:val="1"/>
    <w:qFormat/>
    <w:uiPriority w:val="0"/>
    <w:pPr>
      <w:spacing w:line="240" w:lineRule="auto"/>
      <w:ind w:firstLine="0" w:firstLineChars="0"/>
      <w:jc w:val="center"/>
    </w:pPr>
    <w:rPr>
      <w:rFonts w:ascii="Times New Roman" w:hAnsi="Times New Roman" w:eastAsia="宋体" w:cs="Times New Roman"/>
      <w:sz w:val="21"/>
      <w:szCs w:val="21"/>
    </w:rPr>
  </w:style>
  <w:style w:type="paragraph" w:customStyle="1" w:styleId="28">
    <w:name w:val="样式 样式 (中文) 仿宋_GB2312 居中1 + 小四"/>
    <w:basedOn w:val="1"/>
    <w:qFormat/>
    <w:uiPriority w:val="0"/>
    <w:pPr>
      <w:jc w:val="center"/>
    </w:pPr>
    <w:rPr>
      <w:rFonts w:cs="宋体"/>
      <w:sz w:val="24"/>
      <w:szCs w:val="20"/>
    </w:rPr>
  </w:style>
  <w:style w:type="paragraph" w:customStyle="1" w:styleId="29">
    <w:name w:val="表格的字"/>
    <w:basedOn w:val="1"/>
    <w:qFormat/>
    <w:uiPriority w:val="0"/>
    <w:pPr>
      <w:spacing w:line="240" w:lineRule="auto"/>
      <w:ind w:firstLine="0" w:firstLineChars="0"/>
      <w:jc w:val="center"/>
      <w:textAlignment w:val="auto"/>
    </w:pPr>
    <w:rPr>
      <w:kern w:val="2"/>
      <w:sz w:val="21"/>
      <w:szCs w:val="24"/>
    </w:rPr>
  </w:style>
  <w:style w:type="paragraph" w:customStyle="1" w:styleId="30">
    <w:name w:val="表格"/>
    <w:basedOn w:val="1"/>
    <w:next w:val="1"/>
    <w:qFormat/>
    <w:uiPriority w:val="0"/>
    <w:pPr>
      <w:widowControl w:val="0"/>
      <w:autoSpaceDE w:val="0"/>
      <w:autoSpaceDN w:val="0"/>
      <w:adjustRightInd w:val="0"/>
      <w:spacing w:line="240" w:lineRule="auto"/>
      <w:jc w:val="center"/>
      <w:textAlignment w:val="baseline"/>
    </w:pPr>
    <w:rPr>
      <w:bCs/>
      <w:sz w:val="21"/>
      <w:szCs w:val="21"/>
    </w:rPr>
  </w:style>
  <w:style w:type="paragraph" w:customStyle="1" w:styleId="31">
    <w:name w:val="样式 样式 12.5 磅 行距: 固定值 22 磅 首行缩进:  2 字符 + 首行缩进:  2 字符"/>
    <w:basedOn w:val="1"/>
    <w:qFormat/>
    <w:uiPriority w:val="0"/>
    <w:pPr>
      <w:spacing w:line="440" w:lineRule="exact"/>
      <w:ind w:firstLine="500" w:firstLineChars="200"/>
    </w:pPr>
    <w:rPr>
      <w:rFonts w:ascii="Times New Roman" w:hAnsi="Times New Roman" w:eastAsia="宋体" w:cs="宋体"/>
      <w:sz w:val="24"/>
      <w:szCs w:val="24"/>
    </w:rPr>
  </w:style>
  <w:style w:type="paragraph" w:customStyle="1" w:styleId="32">
    <w:name w:val="表格内文字"/>
    <w:basedOn w:val="1"/>
    <w:qFormat/>
    <w:uiPriority w:val="0"/>
    <w:pPr>
      <w:tabs>
        <w:tab w:val="left" w:pos="0"/>
      </w:tabs>
      <w:adjustRightInd w:val="0"/>
      <w:snapToGrid w:val="0"/>
      <w:jc w:val="center"/>
    </w:pPr>
    <w:rPr>
      <w:szCs w:val="21"/>
    </w:rPr>
  </w:style>
  <w:style w:type="paragraph" w:customStyle="1" w:styleId="33">
    <w:name w:val="4"/>
    <w:basedOn w:val="1"/>
    <w:next w:val="4"/>
    <w:qFormat/>
    <w:uiPriority w:val="0"/>
    <w:rPr>
      <w:rFonts w:ascii="宋体" w:hAnsi="Courier New" w:cs="Courier New"/>
      <w:szCs w:val="21"/>
    </w:rPr>
  </w:style>
  <w:style w:type="paragraph" w:customStyle="1" w:styleId="34">
    <w:name w:val="正文格式"/>
    <w:basedOn w:val="1"/>
    <w:qFormat/>
    <w:uiPriority w:val="0"/>
    <w:pPr>
      <w:spacing w:line="432" w:lineRule="auto"/>
      <w:ind w:firstLine="200" w:firstLineChars="200"/>
    </w:pPr>
    <w:rPr>
      <w:rFonts w:ascii="Verdana" w:hAnsi="Verdana"/>
      <w:b/>
      <w:sz w:val="24"/>
    </w:rPr>
  </w:style>
  <w:style w:type="paragraph" w:customStyle="1" w:styleId="35">
    <w:name w:val="4正文"/>
    <w:qFormat/>
    <w:uiPriority w:val="0"/>
    <w:pPr>
      <w:widowControl w:val="0"/>
      <w:spacing w:line="360" w:lineRule="auto"/>
      <w:ind w:firstLine="480" w:firstLineChars="200"/>
      <w:jc w:val="both"/>
    </w:pPr>
    <w:rPr>
      <w:rFonts w:ascii="Calibri" w:hAnsi="Calibri" w:eastAsia="宋体" w:cs="Times New Roman"/>
      <w:kern w:val="2"/>
      <w:sz w:val="24"/>
      <w:szCs w:val="24"/>
      <w:lang w:val="en-US" w:eastAsia="zh-CN" w:bidi="ar-SA"/>
    </w:rPr>
  </w:style>
  <w:style w:type="paragraph" w:customStyle="1" w:styleId="36">
    <w:name w:val="01正文"/>
    <w:basedOn w:val="1"/>
    <w:qFormat/>
    <w:uiPriority w:val="0"/>
    <w:pPr>
      <w:spacing w:line="360" w:lineRule="auto"/>
      <w:ind w:firstLine="420" w:firstLineChars="200"/>
    </w:pPr>
    <w:rPr>
      <w:rFonts w:hint="eastAsia" w:ascii="Times New Roman" w:hAnsi="Times New Roman"/>
      <w:sz w:val="24"/>
    </w:rPr>
  </w:style>
  <w:style w:type="paragraph" w:customStyle="1" w:styleId="3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10996</Words>
  <Characters>11781</Characters>
  <Lines>0</Lines>
  <Paragraphs>0</Paragraphs>
  <TotalTime>2</TotalTime>
  <ScaleCrop>false</ScaleCrop>
  <LinksUpToDate>false</LinksUpToDate>
  <CharactersWithSpaces>11853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2024-10-30T07:07:00Z</dcterms:created>
  <dc:creator>爆炸头头</dc:creator>
  <cp:lastModifiedBy>爆炸头头</cp:lastModifiedBy>
  <dcterms:modified xsi:type="dcterms:W3CDTF">2025-01-15T02:36:34Z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1E8B9B6F24654137B4A15E1209A291BC_11</vt:lpwstr>
  </property>
  <property fmtid="{D5CDD505-2E9C-101B-9397-08002B2CF9AE}" pid="4" name="KSOTemplateDocerSaveRecord">
    <vt:lpwstr>eyJoZGlkIjoiODQ4NjA3YTY5NDY2MTE5NjFjNWUxZTljODY2Y2Q4MzIiLCJ1c2VySWQiOiIxNDU0NzMzODgzIn0=</vt:lpwstr>
  </property>
</Properties>
</file>