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szCs w:val="32"/>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spacing w:line="560" w:lineRule="exact"/>
        <w:rPr>
          <w:rFonts w:ascii="Times New Roman" w:hAnsi="Times New Roma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泉</w:t>
      </w:r>
      <w:r>
        <w:rPr>
          <w:rFonts w:hint="eastAsia" w:ascii="仿宋_GB2312" w:hAnsi="仿宋_GB2312" w:eastAsia="仿宋_GB2312" w:cs="仿宋_GB2312"/>
          <w:sz w:val="32"/>
          <w:szCs w:val="32"/>
          <w:lang w:eastAsia="zh-CN"/>
        </w:rPr>
        <w:t>惠</w:t>
      </w:r>
      <w:r>
        <w:rPr>
          <w:rFonts w:hint="eastAsia" w:ascii="仿宋_GB2312" w:hAnsi="仿宋_GB2312" w:eastAsia="仿宋_GB2312" w:cs="仿宋_GB2312"/>
          <w:sz w:val="32"/>
          <w:szCs w:val="32"/>
        </w:rPr>
        <w:t>环评〔202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号</w:t>
      </w:r>
    </w:p>
    <w:p>
      <w:pPr>
        <w:pStyle w:val="9"/>
        <w:keepNext w:val="0"/>
        <w:keepLines w:val="0"/>
        <w:pageBreakBefore w:val="0"/>
        <w:widowControl w:val="0"/>
        <w:kinsoku/>
        <w:wordWrap/>
        <w:overflowPunct/>
        <w:topLinePunct w:val="0"/>
        <w:bidi w:val="0"/>
        <w:snapToGrid/>
        <w:spacing w:line="400" w:lineRule="exact"/>
        <w:textAlignment w:val="auto"/>
        <w:rPr>
          <w:rFonts w:hint="eastAsia"/>
          <w:color w:val="auto"/>
          <w:w w:val="95"/>
          <w:sz w:val="44"/>
          <w:szCs w:val="44"/>
        </w:rPr>
      </w:pPr>
    </w:p>
    <w:p>
      <w:pPr>
        <w:pStyle w:val="13"/>
        <w:autoSpaceDN w:val="0"/>
        <w:adjustRightInd w:val="0"/>
        <w:snapToGrid w:val="0"/>
        <w:spacing w:line="600" w:lineRule="exact"/>
        <w:ind w:left="0"/>
        <w:jc w:val="center"/>
        <w:rPr>
          <w:rFonts w:hint="eastAsia" w:ascii="方正小标宋简体" w:hAnsi="华文中宋" w:eastAsia="方正小标宋简体" w:cs="华文中宋"/>
          <w:bCs/>
          <w:spacing w:val="-2"/>
          <w:sz w:val="44"/>
          <w:szCs w:val="44"/>
          <w:lang w:val="en-US" w:eastAsia="zh-CN"/>
        </w:rPr>
      </w:pPr>
      <w:r>
        <w:rPr>
          <w:rFonts w:hint="eastAsia" w:ascii="方正小标宋简体" w:hAnsi="华文中宋" w:eastAsia="方正小标宋简体" w:cs="华文中宋"/>
          <w:bCs/>
          <w:spacing w:val="-2"/>
          <w:sz w:val="44"/>
          <w:szCs w:val="44"/>
        </w:rPr>
        <w:t>泉州市生态环境局关于针织机配件生产项目</w:t>
      </w:r>
    </w:p>
    <w:p>
      <w:pPr>
        <w:pStyle w:val="13"/>
        <w:autoSpaceDN w:val="0"/>
        <w:adjustRightInd w:val="0"/>
        <w:snapToGrid w:val="0"/>
        <w:spacing w:line="600" w:lineRule="exact"/>
        <w:ind w:left="0"/>
        <w:jc w:val="center"/>
        <w:rPr>
          <w:rFonts w:hint="eastAsia" w:ascii="方正小标宋简体" w:hAnsi="方正小标宋简体" w:eastAsia="方正小标宋简体" w:cs="方正小标宋简体"/>
          <w:bCs/>
          <w:w w:val="100"/>
          <w:sz w:val="44"/>
          <w:szCs w:val="44"/>
        </w:rPr>
      </w:pPr>
      <w:r>
        <w:rPr>
          <w:rFonts w:hint="eastAsia" w:ascii="方正小标宋简体" w:hAnsi="华文中宋" w:eastAsia="方正小标宋简体" w:cs="华文中宋"/>
          <w:bCs/>
          <w:spacing w:val="-2"/>
          <w:sz w:val="44"/>
          <w:szCs w:val="44"/>
          <w:lang w:eastAsia="zh-CN"/>
        </w:rPr>
        <w:t>生态</w:t>
      </w:r>
      <w:r>
        <w:rPr>
          <w:rFonts w:hint="eastAsia" w:ascii="方正小标宋简体" w:hAnsi="华文中宋" w:eastAsia="方正小标宋简体" w:cs="华文中宋"/>
          <w:bCs/>
          <w:spacing w:val="-2"/>
          <w:sz w:val="44"/>
          <w:szCs w:val="44"/>
        </w:rPr>
        <w:t>环境影响报告表的</w:t>
      </w:r>
      <w:r>
        <w:rPr>
          <w:rFonts w:hint="eastAsia" w:ascii="方正小标宋简体" w:hAnsi="方正小标宋简体" w:eastAsia="方正小标宋简体" w:cs="方正小标宋简体"/>
          <w:bCs/>
          <w:w w:val="100"/>
          <w:sz w:val="44"/>
          <w:szCs w:val="44"/>
        </w:rPr>
        <w:t>批复</w:t>
      </w:r>
    </w:p>
    <w:p>
      <w:pPr>
        <w:spacing w:line="520" w:lineRule="exact"/>
        <w:ind w:firstLine="640" w:firstLineChars="200"/>
        <w:rPr>
          <w:rFonts w:hint="eastAsia" w:ascii="仿宋_GB2312" w:hAnsi="仿宋_GB2312" w:eastAsia="仿宋_GB2312" w:cs="仿宋_GB2312"/>
          <w:w w:val="100"/>
          <w:sz w:val="32"/>
          <w:szCs w:val="32"/>
        </w:rPr>
      </w:pPr>
    </w:p>
    <w:p>
      <w:pPr>
        <w:spacing w:line="560" w:lineRule="exact"/>
        <w:ind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泉州市匠心纶盛机械有限公司：</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你公司报送的由</w:t>
      </w:r>
      <w:r>
        <w:rPr>
          <w:rFonts w:hint="eastAsia" w:ascii="仿宋_GB2312" w:hAnsi="仿宋_GB2312" w:eastAsia="仿宋_GB2312" w:cs="仿宋_GB2312"/>
          <w:sz w:val="32"/>
          <w:szCs w:val="32"/>
          <w:lang w:val="en-US" w:eastAsia="zh-CN"/>
        </w:rPr>
        <w:t>厦门华和元环保科技有限公司</w:t>
      </w:r>
      <w:r>
        <w:rPr>
          <w:rFonts w:hint="eastAsia" w:ascii="仿宋_GB2312" w:hAnsi="仿宋_GB2312" w:eastAsia="仿宋_GB2312" w:cs="仿宋_GB2312"/>
          <w:sz w:val="32"/>
          <w:szCs w:val="32"/>
          <w:lang w:eastAsia="zh-CN"/>
        </w:rPr>
        <w:t>编制的《针织机配件生产项目生态环境影响报告表》（以下简称《报告表》）收悉，批复如下：</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lang w:val="en-US" w:eastAsia="zh-CN"/>
        </w:rPr>
        <w:t>项目位于</w:t>
      </w:r>
      <w:bookmarkStart w:id="0" w:name="OLE_LINK9"/>
      <w:r>
        <w:rPr>
          <w:rFonts w:hint="eastAsia" w:ascii="仿宋_GB2312" w:hAnsi="仿宋_GB2312" w:eastAsia="仿宋_GB2312" w:cs="仿宋_GB2312"/>
          <w:sz w:val="32"/>
          <w:szCs w:val="32"/>
          <w:lang w:val="en-US" w:eastAsia="zh-CN"/>
        </w:rPr>
        <w:t>惠安县黄塘镇绿谷台商高科技产业园基地台中路25号1#厂房</w:t>
      </w:r>
      <w:bookmarkEnd w:id="0"/>
      <w:r>
        <w:rPr>
          <w:rFonts w:hint="eastAsia" w:ascii="仿宋_GB2312" w:hAnsi="仿宋_GB2312" w:eastAsia="仿宋_GB2312" w:cs="仿宋_GB2312"/>
          <w:sz w:val="32"/>
          <w:szCs w:val="32"/>
          <w:lang w:val="en-US" w:eastAsia="zh-CN"/>
        </w:rPr>
        <w:t>，租赁泉州市鼎丰针织机械有限公司现有部分厂房；主要进行针织机配件的生产，预计年产针织机针筒2000套；总投资60万元，环保投资15万元。项目建设内容、产品方案、生产工艺、设备等以《报告表》核定为准。</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根据《报告表》评价结论，项目建设和生产在全面落实《报告表》提出的各项环境保护对策措施后，污染物可达标排放，环境风险可防可控。从</w:t>
      </w:r>
      <w:r>
        <w:rPr>
          <w:rFonts w:hint="eastAsia" w:ascii="仿宋_GB2312" w:hAnsi="仿宋_GB2312" w:eastAsia="仿宋_GB2312" w:cs="仿宋_GB2312"/>
          <w:sz w:val="32"/>
          <w:szCs w:val="32"/>
          <w:lang w:val="en-US" w:eastAsia="zh-CN"/>
        </w:rPr>
        <w:t>生态</w:t>
      </w:r>
      <w:r>
        <w:rPr>
          <w:rFonts w:hint="eastAsia" w:ascii="仿宋_GB2312" w:hAnsi="仿宋_GB2312" w:eastAsia="仿宋_GB2312" w:cs="仿宋_GB2312"/>
          <w:sz w:val="32"/>
          <w:szCs w:val="32"/>
          <w:lang w:eastAsia="zh-CN"/>
        </w:rPr>
        <w:t>环境影响角度分析，我局同意你公司按照《报告表》中所列的项目性质、规模、地点、生产工艺和环保措施进行建设。</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二、项目实施过程中，你公司应认真对照并落实《报告表》提出的各项环保对策措施，重点做好以下工作：</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1.无生产废水外排。生活污水经三级化粪池处理后，近期通过市政污水管网排入城东污水处理厂，废水排放</w:t>
      </w:r>
      <w:r>
        <w:rPr>
          <w:rFonts w:hint="eastAsia" w:ascii="仿宋_GB2312" w:hAnsi="仿宋_GB2312" w:eastAsia="仿宋_GB2312" w:cs="仿宋_GB2312"/>
          <w:sz w:val="32"/>
          <w:szCs w:val="32"/>
          <w:lang w:val="en-US" w:eastAsia="zh-CN"/>
        </w:rPr>
        <w:t>执行</w:t>
      </w:r>
      <w:r>
        <w:rPr>
          <w:rFonts w:hint="eastAsia" w:ascii="仿宋_GB2312" w:hAnsi="仿宋_GB2312" w:eastAsia="仿宋_GB2312" w:cs="仿宋_GB2312"/>
          <w:sz w:val="32"/>
          <w:szCs w:val="32"/>
          <w:lang w:eastAsia="zh-CN"/>
        </w:rPr>
        <w:t>《污水综合排放标准》（GB8978-1996）表4中的三级标准（其中氨氮达《污水排入城镇下水道水质标准》（GB/T31962-2015）表1中</w:t>
      </w:r>
      <w:r>
        <w:rPr>
          <w:rFonts w:hint="eastAsia" w:ascii="仿宋_GB2312" w:hAnsi="仿宋_GB2312" w:eastAsia="仿宋_GB2312" w:cs="仿宋_GB2312"/>
          <w:sz w:val="32"/>
          <w:szCs w:val="32"/>
          <w:lang w:val="en-US" w:eastAsia="zh-CN"/>
        </w:rPr>
        <w:t>B</w:t>
      </w:r>
      <w:r>
        <w:rPr>
          <w:rFonts w:hint="eastAsia" w:ascii="仿宋_GB2312" w:hAnsi="仿宋_GB2312" w:eastAsia="仿宋_GB2312" w:cs="仿宋_GB2312"/>
          <w:sz w:val="32"/>
          <w:szCs w:val="32"/>
          <w:lang w:eastAsia="zh-CN"/>
        </w:rPr>
        <w:t>级标准）要求，远期通过市政污水管网排入惠西污水处理厂，废水排放从严执行《污水综合排放标准》（GB8978-1996）表4三级标准及惠西污水处理厂进水水质要求。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2.严格执行</w:t>
      </w:r>
      <w:r>
        <w:rPr>
          <w:rFonts w:hint="eastAsia" w:ascii="仿宋_GB2312" w:hAnsi="仿宋_GB2312" w:eastAsia="仿宋_GB2312" w:cs="仿宋_GB2312"/>
          <w:sz w:val="32"/>
          <w:szCs w:val="32"/>
          <w:lang w:eastAsia="zh-CN"/>
        </w:rPr>
        <w:t>《挥发性有机物无组织排放控制标准》（GB37822-2019）</w:t>
      </w:r>
      <w:r>
        <w:rPr>
          <w:rFonts w:hint="eastAsia" w:ascii="仿宋_GB2312" w:hAnsi="仿宋_GB2312" w:eastAsia="仿宋_GB2312" w:cs="仿宋_GB2312"/>
          <w:sz w:val="32"/>
          <w:szCs w:val="32"/>
          <w:lang w:val="en-US" w:eastAsia="zh-CN"/>
        </w:rPr>
        <w:t>内无组织排放相关管控要求。厂界非甲烷总烃无组织排放参照执行《工业企业挥发性有机物排放标准》（DB35/1782-2018）中表3排放限值，</w:t>
      </w:r>
      <w:r>
        <w:rPr>
          <w:rFonts w:hint="eastAsia" w:ascii="仿宋_GB2312" w:hAnsi="仿宋_GB2312" w:eastAsia="仿宋_GB2312" w:cs="仿宋_GB2312"/>
          <w:sz w:val="32"/>
          <w:szCs w:val="32"/>
          <w:lang w:eastAsia="zh-CN"/>
        </w:rPr>
        <w:t>厂区内非甲烷总烃监控点处1h平均浓度值</w:t>
      </w:r>
      <w:r>
        <w:rPr>
          <w:rFonts w:hint="eastAsia" w:ascii="仿宋_GB2312" w:hAnsi="仿宋_GB2312" w:eastAsia="仿宋_GB2312" w:cs="仿宋_GB2312"/>
          <w:sz w:val="32"/>
          <w:szCs w:val="32"/>
          <w:lang w:val="en-US" w:eastAsia="zh-CN"/>
        </w:rPr>
        <w:t>参照</w:t>
      </w:r>
      <w:r>
        <w:rPr>
          <w:rFonts w:hint="eastAsia" w:ascii="仿宋_GB2312" w:hAnsi="仿宋_GB2312" w:eastAsia="仿宋_GB2312" w:cs="仿宋_GB2312"/>
          <w:sz w:val="32"/>
          <w:szCs w:val="32"/>
          <w:lang w:eastAsia="zh-CN"/>
        </w:rPr>
        <w:t>执行《工业企业挥发性有机物排放标准》（DB35/1782-2018）表</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排放限值，</w:t>
      </w:r>
      <w:r>
        <w:rPr>
          <w:rFonts w:hint="eastAsia" w:ascii="仿宋_GB2312" w:hAnsi="仿宋_GB2312" w:eastAsia="仿宋_GB2312" w:cs="仿宋_GB2312"/>
          <w:sz w:val="32"/>
          <w:szCs w:val="32"/>
          <w:lang w:val="en-US" w:eastAsia="zh-CN"/>
        </w:rPr>
        <w:t>厂区内</w:t>
      </w:r>
      <w:r>
        <w:rPr>
          <w:rFonts w:hint="eastAsia" w:ascii="仿宋_GB2312" w:hAnsi="仿宋_GB2312" w:eastAsia="仿宋_GB2312" w:cs="仿宋_GB2312"/>
          <w:sz w:val="32"/>
          <w:szCs w:val="32"/>
          <w:lang w:eastAsia="zh-CN"/>
        </w:rPr>
        <w:t>监控点任意一次浓度值执行《挥发性有机物无组织排放控制标准》（GB37822-2019）附录</w:t>
      </w:r>
      <w:r>
        <w:rPr>
          <w:rFonts w:hint="eastAsia" w:ascii="仿宋_GB2312" w:hAnsi="仿宋_GB2312" w:eastAsia="仿宋_GB2312" w:cs="仿宋_GB2312"/>
          <w:sz w:val="32"/>
          <w:szCs w:val="32"/>
          <w:lang w:val="en-US" w:eastAsia="zh-CN"/>
        </w:rPr>
        <w:t>A</w:t>
      </w:r>
      <w:r>
        <w:rPr>
          <w:rFonts w:hint="eastAsia" w:ascii="仿宋_GB2312" w:hAnsi="仿宋_GB2312" w:eastAsia="仿宋_GB2312" w:cs="仿宋_GB2312"/>
          <w:sz w:val="32"/>
          <w:szCs w:val="32"/>
          <w:lang w:eastAsia="zh-CN"/>
        </w:rPr>
        <w:t>表A.1</w:t>
      </w:r>
      <w:r>
        <w:rPr>
          <w:rFonts w:hint="eastAsia" w:ascii="仿宋_GB2312" w:hAnsi="仿宋_GB2312" w:eastAsia="仿宋_GB2312" w:cs="仿宋_GB2312"/>
          <w:sz w:val="32"/>
          <w:szCs w:val="32"/>
          <w:lang w:val="en-US" w:eastAsia="zh-CN"/>
        </w:rPr>
        <w:t>排放</w:t>
      </w:r>
      <w:r>
        <w:rPr>
          <w:rFonts w:hint="eastAsia" w:ascii="仿宋_GB2312" w:hAnsi="仿宋_GB2312" w:eastAsia="仿宋_GB2312" w:cs="仿宋_GB2312"/>
          <w:sz w:val="32"/>
          <w:szCs w:val="32"/>
          <w:lang w:eastAsia="zh-CN"/>
        </w:rPr>
        <w:t>限值。</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3.噪声源应采取切实有效的消声隔音、减振措施，项目厂界噪声执行《工业企业厂界环境噪声排放标准》（GB12348-2008）3类标准，即昼间≤65dB(A)、夜间≤55dB(A)。</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不含切削液的金属屑、废喷砂渣、废包装袋等一般固废集中收集后交由相关单位进行回收利用；含切削液的金属屑、废切削液、废液压油、废水处理污泥、清洗废渣、研磨废渣、废砂轮、抛光废渣、废抛光轮及破损的原料空桶等危险废物按照危险废物环境管理要求进行收集、贮存，委托有资质单位处置；生活垃圾由当地环卫部门统一清运处理。</w:t>
      </w:r>
    </w:p>
    <w:p>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三、项目主要污染物排放总量控制指标：</w:t>
      </w:r>
    </w:p>
    <w:p>
      <w:pPr>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本项目新增VOCs排放量0.0364t/a，在惠安区域内执行1.2倍量削减替代为0.0437t/a，新增年排放量小于0.1吨，免予提交总量来源说明。</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 xml:space="preserve">你公司应严格执行建设项目环保“三同时”制度，项目竣工后，按照国务院生态环境行政主管部门规定的标准和程序，对项目开展竣工环保验收。验收过程不得弄虚作假，并依法向社会公开验收报告。 </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、你公司应按照《排污许可管理条例》规定，</w:t>
      </w:r>
      <w:r>
        <w:rPr>
          <w:rFonts w:hint="eastAsia" w:ascii="仿宋_GB2312" w:hAnsi="仿宋_GB2312" w:eastAsia="仿宋_GB2312" w:cs="仿宋_GB2312"/>
          <w:sz w:val="32"/>
          <w:szCs w:val="32"/>
          <w:lang w:val="en-US" w:eastAsia="zh-CN"/>
        </w:rPr>
        <w:t>及时申领排污许可证，按证排污</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该项目生态环境影响报告表批复后，若工程建设的性质、规模、地点、采用的生产工艺或污染防治、防止生态破坏的措施等发生重大变动，应依法重新办理生态环境影响评价审批手续。自批准之日起，如超过五年才开工建设的，应当在开工前将</w:t>
      </w:r>
      <w:r>
        <w:rPr>
          <w:rFonts w:hint="eastAsia" w:ascii="仿宋_GB2312" w:hAnsi="仿宋_GB2312" w:eastAsia="仿宋_GB2312" w:cs="仿宋_GB2312"/>
          <w:sz w:val="32"/>
          <w:szCs w:val="32"/>
          <w:lang w:val="en-US" w:eastAsia="zh-CN"/>
        </w:rPr>
        <w:t>生态</w:t>
      </w:r>
      <w:r>
        <w:rPr>
          <w:rFonts w:hint="eastAsia" w:ascii="仿宋_GB2312" w:hAnsi="仿宋_GB2312" w:eastAsia="仿宋_GB2312" w:cs="仿宋_GB2312"/>
          <w:sz w:val="32"/>
          <w:szCs w:val="32"/>
          <w:lang w:eastAsia="zh-CN"/>
        </w:rPr>
        <w:t>环境影响评价文件重新报审。</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、请泉州市惠安生态环境</w:t>
      </w:r>
      <w:bookmarkStart w:id="1" w:name="_GoBack"/>
      <w:bookmarkEnd w:id="1"/>
      <w:r>
        <w:rPr>
          <w:rFonts w:hint="eastAsia" w:ascii="仿宋_GB2312" w:hAnsi="仿宋_GB2312" w:eastAsia="仿宋_GB2312" w:cs="仿宋_GB2312"/>
          <w:sz w:val="32"/>
          <w:szCs w:val="32"/>
          <w:lang w:eastAsia="zh-CN"/>
        </w:rPr>
        <w:t>保护综合执法大队按全链条环境监管要求，做好该项目环保“三同时”监督检查。</w:t>
      </w:r>
    </w:p>
    <w:p>
      <w:pPr>
        <w:spacing w:line="400" w:lineRule="exact"/>
        <w:jc w:val="left"/>
        <w:rPr>
          <w:rFonts w:hint="eastAsia" w:ascii="仿宋_GB2312" w:hAnsi="仿宋_GB2312" w:eastAsia="仿宋_GB2312" w:cs="仿宋_GB2312"/>
          <w:sz w:val="32"/>
          <w:szCs w:val="32"/>
        </w:rPr>
      </w:pPr>
    </w:p>
    <w:p>
      <w:pPr>
        <w:spacing w:line="52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泉州市生态环境局</w:t>
      </w:r>
    </w:p>
    <w:p>
      <w:pPr>
        <w:spacing w:line="52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p>
      <w:pPr>
        <w:spacing w:line="52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（此件主动公开）</w:t>
      </w:r>
    </w:p>
    <w:p>
      <w:pPr>
        <w:spacing w:line="520" w:lineRule="exact"/>
        <w:ind w:firstLine="0" w:firstLineChars="0"/>
        <w:rPr>
          <w:rFonts w:hint="eastAsia" w:ascii="仿宋_GB2312" w:hAnsi="仿宋_GB2312" w:eastAsia="仿宋_GB2312" w:cs="仿宋_GB2312"/>
          <w:sz w:val="32"/>
          <w:szCs w:val="32"/>
        </w:rPr>
        <w:sectPr>
          <w:footerReference r:id="rId3" w:type="default"/>
          <w:pgSz w:w="11906" w:h="16838"/>
          <w:pgMar w:top="1247" w:right="1474" w:bottom="1440" w:left="1474" w:header="851" w:footer="992" w:gutter="0"/>
          <w:pgNumType w:fmt="decimal"/>
          <w:cols w:space="425" w:num="1"/>
          <w:docGrid w:type="lines" w:linePitch="312" w:charSpace="0"/>
        </w:sectPr>
      </w:pPr>
    </w:p>
    <w:p>
      <w:pPr>
        <w:pStyle w:val="8"/>
        <w:rPr>
          <w:rFonts w:hint="eastAsia"/>
        </w:rPr>
      </w:pPr>
    </w:p>
    <w:p>
      <w:pPr>
        <w:spacing w:line="520" w:lineRule="exact"/>
        <w:ind w:firstLine="0" w:firstLineChars="0"/>
        <w:rPr>
          <w:rFonts w:hint="eastAsia" w:ascii="仿宋_GB2312" w:hAnsi="仿宋_GB2312" w:eastAsia="仿宋_GB2312" w:cs="仿宋_GB2312"/>
          <w:sz w:val="32"/>
          <w:szCs w:val="32"/>
        </w:rPr>
      </w:pPr>
    </w:p>
    <w:p>
      <w:pPr>
        <w:spacing w:line="520" w:lineRule="exact"/>
        <w:ind w:firstLine="0" w:firstLineChars="0"/>
        <w:rPr>
          <w:rFonts w:hint="eastAsia" w:ascii="仿宋_GB2312" w:hAnsi="仿宋_GB2312" w:eastAsia="仿宋_GB2312" w:cs="仿宋_GB2312"/>
          <w:sz w:val="32"/>
          <w:szCs w:val="32"/>
        </w:rPr>
      </w:pPr>
    </w:p>
    <w:p>
      <w:pPr>
        <w:spacing w:line="520" w:lineRule="exact"/>
        <w:ind w:firstLine="0" w:firstLineChars="0"/>
        <w:rPr>
          <w:rFonts w:hint="eastAsia" w:ascii="仿宋_GB2312" w:hAnsi="仿宋_GB2312" w:eastAsia="仿宋_GB2312" w:cs="仿宋_GB2312"/>
          <w:sz w:val="32"/>
          <w:szCs w:val="32"/>
        </w:rPr>
      </w:pPr>
    </w:p>
    <w:p>
      <w:pPr>
        <w:spacing w:line="520" w:lineRule="exact"/>
        <w:ind w:firstLine="0" w:firstLineChars="0"/>
        <w:rPr>
          <w:rFonts w:hint="eastAsia" w:ascii="仿宋_GB2312" w:hAnsi="仿宋_GB2312" w:eastAsia="仿宋_GB2312" w:cs="仿宋_GB2312"/>
          <w:sz w:val="32"/>
          <w:szCs w:val="32"/>
        </w:rPr>
      </w:pPr>
    </w:p>
    <w:p>
      <w:pPr>
        <w:pStyle w:val="8"/>
        <w:ind w:left="0" w:leftChars="0" w:firstLine="0" w:firstLineChars="0"/>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rPr>
          <w:rFonts w:hint="eastAsia" w:ascii="仿宋_GB2312" w:hAnsi="仿宋_GB2312" w:eastAsia="仿宋_GB2312" w:cs="仿宋_GB2312"/>
          <w:sz w:val="32"/>
          <w:szCs w:val="32"/>
        </w:rPr>
      </w:pPr>
    </w:p>
    <w:p>
      <w:pPr>
        <w:pStyle w:val="8"/>
        <w:ind w:left="0" w:leftChars="0" w:firstLine="0" w:firstLineChars="0"/>
        <w:rPr>
          <w:rFonts w:hint="eastAsia" w:ascii="仿宋_GB2312" w:hAnsi="仿宋_GB2312" w:eastAsia="仿宋_GB2312" w:cs="仿宋_GB2312"/>
          <w:sz w:val="32"/>
          <w:szCs w:val="32"/>
        </w:rPr>
      </w:pPr>
    </w:p>
    <w:p>
      <w:pPr>
        <w:spacing w:line="480" w:lineRule="exact"/>
        <w:ind w:firstLine="280" w:firstLineChars="1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38100</wp:posOffset>
                </wp:positionV>
                <wp:extent cx="5615940" cy="0"/>
                <wp:effectExtent l="0" t="4445" r="0" b="5080"/>
                <wp:wrapNone/>
                <wp:docPr id="1" name="直接连接符 1"/>
                <wp:cNvGraphicFramePr/>
                <a:graphic xmlns:a="http://schemas.openxmlformats.org/drawingml/2006/main">
                  <a:graphicData uri="http://schemas.microsoft.com/office/word/2010/wordprocessingShape">
                    <wps:wsp>
                      <wps:cNvCnPr/>
                      <wps:spPr>
                        <a:xfrm flipV="1">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0.75pt;margin-top:3pt;height:0pt;width:442.2pt;z-index:251662336;mso-width-relative:page;mso-height-relative:page;" filled="f" stroked="t" coordsize="21600,21600" o:gfxdata="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EDme3jSAAAABQEAAA8AAAAAAAAAAQAgAAAA&#10;OAAAAGRycy9kb3ducmV2LnhtbFBLAQIUABQAAAAIAIdO4kDAbB2d+wEAAO4DAAAOAAAAAAAAAAEA&#10;IAAAADcBAABkcnMvZTJvRG9jLnhtbFBLBQYAAAAABgAGAFkBAACk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抄送：</w:t>
      </w:r>
      <w:r>
        <w:rPr>
          <w:rFonts w:hint="eastAsia" w:ascii="仿宋_GB2312" w:hAnsi="仿宋_GB2312" w:eastAsia="仿宋_GB2312" w:cs="仿宋_GB2312"/>
          <w:sz w:val="28"/>
          <w:szCs w:val="28"/>
          <w:lang w:val="en-US" w:eastAsia="zh-CN"/>
        </w:rPr>
        <w:t>黄塘镇</w:t>
      </w:r>
      <w:r>
        <w:rPr>
          <w:rFonts w:hint="eastAsia" w:ascii="仿宋_GB2312" w:hAnsi="仿宋_GB2312" w:eastAsia="仿宋_GB2312" w:cs="仿宋_GB2312"/>
          <w:sz w:val="28"/>
          <w:szCs w:val="28"/>
          <w:lang w:eastAsia="zh-CN"/>
        </w:rPr>
        <w:t>人民政府</w:t>
      </w:r>
      <w:r>
        <w:rPr>
          <w:rFonts w:hint="eastAsia" w:ascii="仿宋_GB2312" w:hAnsi="仿宋_GB2312" w:eastAsia="仿宋_GB2312" w:cs="仿宋_GB2312"/>
          <w:sz w:val="28"/>
          <w:szCs w:val="28"/>
        </w:rPr>
        <w:t>，泉州市</w:t>
      </w:r>
      <w:r>
        <w:rPr>
          <w:rFonts w:hint="eastAsia" w:ascii="仿宋_GB2312" w:hAnsi="仿宋_GB2312" w:eastAsia="仿宋_GB2312" w:cs="仿宋_GB2312"/>
          <w:sz w:val="28"/>
          <w:szCs w:val="28"/>
          <w:lang w:eastAsia="zh-CN"/>
        </w:rPr>
        <w:t>惠安</w:t>
      </w:r>
      <w:r>
        <w:rPr>
          <w:rFonts w:hint="eastAsia" w:ascii="仿宋_GB2312" w:hAnsi="仿宋_GB2312" w:eastAsia="仿宋_GB2312" w:cs="仿宋_GB2312"/>
          <w:sz w:val="28"/>
          <w:szCs w:val="28"/>
        </w:rPr>
        <w:t>生态环境保护综合执法</w:t>
      </w:r>
      <w:r>
        <w:rPr>
          <w:rFonts w:hint="eastAsia" w:ascii="仿宋_GB2312" w:hAnsi="仿宋_GB2312" w:eastAsia="仿宋_GB2312" w:cs="仿宋_GB2312"/>
          <w:sz w:val="28"/>
          <w:szCs w:val="28"/>
          <w:lang w:eastAsia="zh-CN"/>
        </w:rPr>
        <w:t>大</w:t>
      </w:r>
      <w:r>
        <w:rPr>
          <w:rFonts w:hint="eastAsia" w:ascii="仿宋_GB2312" w:hAnsi="仿宋_GB2312" w:eastAsia="仿宋_GB2312" w:cs="仿宋_GB2312"/>
          <w:sz w:val="28"/>
          <w:szCs w:val="28"/>
        </w:rPr>
        <w:t>队，</w:t>
      </w:r>
      <w:r>
        <w:rPr>
          <w:rFonts w:hint="eastAsia" w:ascii="仿宋_GB2312" w:hAnsi="仿宋_GB2312" w:eastAsia="仿宋_GB2312" w:cs="仿宋_GB2312"/>
          <w:sz w:val="28"/>
          <w:szCs w:val="28"/>
          <w:lang w:val="en-US" w:eastAsia="zh-CN"/>
        </w:rPr>
        <w:t>厦</w:t>
      </w:r>
    </w:p>
    <w:p>
      <w:pPr>
        <w:spacing w:line="480" w:lineRule="exact"/>
        <w:ind w:firstLine="1120" w:firstLineChars="4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门华和元环保科技有限公司</w:t>
      </w:r>
      <w:r>
        <w:rPr>
          <w:rFonts w:hint="eastAsia" w:ascii="仿宋_GB2312" w:hAnsi="仿宋_GB2312" w:eastAsia="仿宋_GB2312" w:cs="仿宋_GB2312"/>
          <w:sz w:val="28"/>
          <w:szCs w:val="28"/>
        </w:rPr>
        <w:t>。</w:t>
      </w:r>
    </w:p>
    <w:p>
      <w:pPr>
        <w:ind w:firstLine="280" w:firstLineChars="100"/>
      </w:pP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12700</wp:posOffset>
                </wp:positionH>
                <wp:positionV relativeFrom="paragraph">
                  <wp:posOffset>355600</wp:posOffset>
                </wp:positionV>
                <wp:extent cx="5615940" cy="0"/>
                <wp:effectExtent l="0" t="4445" r="0" b="5080"/>
                <wp:wrapNone/>
                <wp:docPr id="2" name="直接连接符 2"/>
                <wp:cNvGraphicFramePr/>
                <a:graphic xmlns:a="http://schemas.openxmlformats.org/drawingml/2006/main">
                  <a:graphicData uri="http://schemas.microsoft.com/office/word/2010/wordprocessingShape">
                    <wps:wsp>
                      <wps:cNvCnPr/>
                      <wps:spPr>
                        <a:xfrm flipV="1">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pt;margin-top:28pt;height:0pt;width:442.2pt;z-index:251661312;mso-width-relative:page;mso-height-relative:page;" filled="f" stroked="t" coordsize="21600,21600" o:gfxdata="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OuJZ8nUAAAABwEAAA8AAAAAAAAAAQAg&#10;AAAAOAAAAGRycy9kb3ducmV2LnhtbFBLAQIUABQAAAAIAIdO4kDc8cK//AEAAO4DAAAOAAAAAAAA&#10;AAEAIAAAADkBAABkcnMvZTJvRG9jLnhtbFBLBQYAAAAABgAGAFkBAACn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19050</wp:posOffset>
                </wp:positionV>
                <wp:extent cx="5615940" cy="0"/>
                <wp:effectExtent l="0" t="4445" r="0" b="5080"/>
                <wp:wrapNone/>
                <wp:docPr id="3" name="直接连接符 3"/>
                <wp:cNvGraphicFramePr/>
                <a:graphic xmlns:a="http://schemas.openxmlformats.org/drawingml/2006/main">
                  <a:graphicData uri="http://schemas.microsoft.com/office/word/2010/wordprocessingShape">
                    <wps:wsp>
                      <wps:cNvCnPr/>
                      <wps:spPr>
                        <a:xfrm flipV="1">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0pt;margin-top:1.5pt;height:0pt;width:442.2pt;z-index:251660288;mso-width-relative:page;mso-height-relative:page;" filled="f" stroked="t" coordsize="21600,21600" o:gfxdata="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KRg4zbTAAAABAEAAA8AAAAAAAAAAQAg&#10;AAAAOAAAAGRycy9kb3ducmV2LnhtbFBLAQIUABQAAAAIAIdO4kAXh1gX/QEAAO4DAAAOAAAAAAAA&#10;AAEAIAAAADgBAABkcnMvZTJvRG9jLnhtbFBLBQYAAAAABgAGAFkBAACn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泉州市</w:t>
      </w:r>
      <w:r>
        <w:rPr>
          <w:rFonts w:hint="eastAsia" w:ascii="仿宋_GB2312" w:hAnsi="仿宋_GB2312" w:eastAsia="仿宋_GB2312" w:cs="仿宋_GB2312"/>
          <w:sz w:val="28"/>
          <w:szCs w:val="28"/>
          <w:lang w:eastAsia="zh-CN"/>
        </w:rPr>
        <w:t>惠安</w:t>
      </w:r>
      <w:r>
        <w:rPr>
          <w:rFonts w:hint="eastAsia" w:ascii="仿宋_GB2312" w:hAnsi="仿宋_GB2312" w:eastAsia="仿宋_GB2312" w:cs="仿宋_GB2312"/>
          <w:sz w:val="28"/>
          <w:szCs w:val="28"/>
        </w:rPr>
        <w:t xml:space="preserve">生态环境局办公室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日印发</w:t>
      </w:r>
    </w:p>
    <w:sectPr>
      <w:footerReference r:id="rId4" w:type="default"/>
      <w:pgSz w:w="11906" w:h="16838"/>
      <w:pgMar w:top="1247" w:right="1474" w:bottom="1440"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7BB7E"/>
    <w:rsid w:val="11151E52"/>
    <w:rsid w:val="181154F5"/>
    <w:rsid w:val="368D693D"/>
    <w:rsid w:val="3F7FF774"/>
    <w:rsid w:val="41BE15A0"/>
    <w:rsid w:val="6737BB7E"/>
    <w:rsid w:val="785F25FD"/>
    <w:rsid w:val="BFD7F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adjustRightInd/>
      <w:snapToGrid/>
      <w:spacing w:line="240" w:lineRule="auto"/>
      <w:ind w:firstLine="0"/>
    </w:pPr>
    <w:rPr>
      <w:rFonts w:ascii="宋体" w:eastAsia="宋体"/>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0"/>
    <w:pPr>
      <w:adjustRightInd/>
      <w:snapToGrid/>
      <w:spacing w:line="240" w:lineRule="auto"/>
      <w:ind w:left="200" w:leftChars="200" w:firstLine="0"/>
    </w:pPr>
    <w:rPr>
      <w:rFonts w:ascii="等线" w:eastAsia="等线"/>
      <w:sz w:val="21"/>
      <w:szCs w:val="22"/>
    </w:rPr>
  </w:style>
  <w:style w:type="paragraph" w:customStyle="1" w:styleId="8">
    <w:name w:val="样式 首行缩进:  2 字符1"/>
    <w:basedOn w:val="1"/>
    <w:qFormat/>
    <w:uiPriority w:val="0"/>
    <w:pPr>
      <w:adjustRightInd w:val="0"/>
      <w:snapToGrid w:val="0"/>
      <w:spacing w:line="360" w:lineRule="auto"/>
      <w:ind w:firstLine="480" w:firstLineChars="200"/>
    </w:pPr>
    <w:rPr>
      <w:rFonts w:cs="宋体"/>
      <w:sz w:val="24"/>
    </w:rPr>
  </w:style>
  <w:style w:type="paragraph" w:customStyle="1" w:styleId="9">
    <w:name w:val="Default"/>
    <w:basedOn w:val="10"/>
    <w:next w:val="11"/>
    <w:qFormat/>
    <w:uiPriority w:val="0"/>
    <w:pPr>
      <w:widowControl w:val="0"/>
      <w:autoSpaceDE w:val="0"/>
      <w:autoSpaceDN w:val="0"/>
      <w:adjustRightInd w:val="0"/>
    </w:pPr>
    <w:rPr>
      <w:rFonts w:ascii="宋体" w:hAnsi="等线" w:eastAsia="等线" w:cs="宋体"/>
      <w:color w:val="000000"/>
      <w:sz w:val="24"/>
      <w:szCs w:val="24"/>
      <w:lang w:val="en-US" w:eastAsia="zh-CN" w:bidi="ar-SA"/>
    </w:rPr>
  </w:style>
  <w:style w:type="paragraph" w:customStyle="1" w:styleId="10">
    <w:name w:val="纯文本1"/>
    <w:basedOn w:val="1"/>
    <w:next w:val="2"/>
    <w:qFormat/>
    <w:uiPriority w:val="0"/>
    <w:pPr>
      <w:adjustRightInd/>
      <w:snapToGrid/>
      <w:spacing w:line="240" w:lineRule="auto"/>
      <w:ind w:firstLine="0"/>
    </w:pPr>
    <w:rPr>
      <w:rFonts w:ascii="宋体" w:eastAsia="宋体" w:cs="黑体"/>
      <w:sz w:val="21"/>
      <w:szCs w:val="21"/>
    </w:rPr>
  </w:style>
  <w:style w:type="paragraph" w:customStyle="1" w:styleId="11">
    <w:name w:val="样式35"/>
    <w:next w:val="12"/>
    <w:qFormat/>
    <w:uiPriority w:val="0"/>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12">
    <w:name w:val="font6"/>
    <w:basedOn w:val="1"/>
    <w:next w:val="5"/>
    <w:qFormat/>
    <w:uiPriority w:val="0"/>
    <w:pPr>
      <w:widowControl/>
      <w:adjustRightInd/>
      <w:snapToGrid/>
      <w:spacing w:before="100" w:beforeAutospacing="1" w:after="100" w:afterAutospacing="1" w:line="240" w:lineRule="auto"/>
      <w:ind w:firstLine="0"/>
      <w:jc w:val="left"/>
    </w:pPr>
    <w:rPr>
      <w:rFonts w:ascii="宋体" w:eastAsia="宋体" w:cs="宋体"/>
      <w:kern w:val="0"/>
      <w:sz w:val="20"/>
      <w:szCs w:val="20"/>
    </w:rPr>
  </w:style>
  <w:style w:type="paragraph" w:customStyle="1" w:styleId="13">
    <w:name w:val="p0"/>
    <w:basedOn w:val="1"/>
    <w:next w:val="4"/>
    <w:qFormat/>
    <w:uiPriority w:val="0"/>
    <w:pPr>
      <w:keepNext w:val="0"/>
      <w:keepLines w:val="0"/>
      <w:widowControl/>
      <w:suppressLineNumbers w:val="0"/>
      <w:suppressAutoHyphens w:val="0"/>
      <w:spacing w:before="0" w:beforeAutospacing="0" w:after="0" w:afterAutospacing="0" w:line="365" w:lineRule="atLeast"/>
      <w:ind w:left="1" w:right="0"/>
      <w:jc w:val="both"/>
    </w:pPr>
    <w:rPr>
      <w:rFonts w:hint="default" w:ascii="Times New Roman" w:hAnsi="Times New Roman" w:eastAsia="宋体" w:cs="Times New Roman"/>
      <w:kern w:val="0"/>
      <w:sz w:val="20"/>
      <w:szCs w:val="20"/>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1381</Words>
  <Characters>1501</Characters>
  <Lines>0</Lines>
  <Paragraphs>0</Paragraphs>
  <TotalTime>7</TotalTime>
  <ScaleCrop>false</ScaleCrop>
  <LinksUpToDate>false</LinksUpToDate>
  <CharactersWithSpaces>1558</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2026-10-15T21:57:00Z</dcterms:created>
  <dc:creator>hik</dc:creator>
  <cp:lastModifiedBy>hik</cp:lastModifiedBy>
  <cp:lastPrinted>2026-10-30T11:36:07Z</cp:lastPrinted>
  <dcterms:modified xsi:type="dcterms:W3CDTF">2026-10-30T11:37:15Z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E43A6524677A4EB6A84887B069B4D4D8_13</vt:lpwstr>
  </property>
  <property fmtid="{D5CDD505-2E9C-101B-9397-08002B2CF9AE}" pid="4" name="KSOTemplateDocerSaveRecord">
    <vt:lpwstr>eyJoZGlkIjoiZDIzNWYxN2ZkYmI1ODEzZDcwM2Q2M2MzMmE4ZTYyYTAiLCJ1c2VySWQiOiI0NTczNDk2NzgifQ==</vt:lpwstr>
  </property>
</Properties>
</file>