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293</w:t>
      </w:r>
      <w:r>
        <w:rPr>
          <w:rFonts w:hint="eastAsia" w:ascii="仿宋_GB2312" w:hAnsi="仿宋_GB2312" w:eastAsia="仿宋_GB2312" w:cs="仿宋_GB2312"/>
          <w:spacing w:val="0"/>
          <w:sz w:val="32"/>
          <w:szCs w:val="32"/>
        </w:rPr>
        <w:t>号</w:t>
      </w:r>
    </w:p>
    <w:p>
      <w:pPr>
        <w:keepNext w:val="0"/>
        <w:keepLines w:val="0"/>
        <w:pageBreakBefore w:val="0"/>
        <w:widowControl/>
        <w:wordWrap/>
        <w:overflowPunct/>
        <w:topLinePunct w:val="0"/>
        <w:bidi w:val="0"/>
        <w:adjustRightInd w:val="0"/>
        <w:snapToGrid w:val="0"/>
        <w:spacing w:line="440" w:lineRule="exac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当事人：惠安县辋川新东升超市                                                           </w:t>
      </w:r>
    </w:p>
    <w:p>
      <w:pPr>
        <w:keepNext w:val="0"/>
        <w:keepLines w:val="0"/>
        <w:pageBreakBefore w:val="0"/>
        <w:widowControl/>
        <w:wordWrap/>
        <w:overflowPunct/>
        <w:topLinePunct w:val="0"/>
        <w:bidi w:val="0"/>
        <w:adjustRightInd w:val="0"/>
        <w:snapToGrid w:val="0"/>
        <w:spacing w:line="440" w:lineRule="exac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主体资格证照名称：《营业执照》                                      统一社会信用代码：92350521MA2Y9WQG4J                    住所（住址）：福建省泉州市惠安县辋川镇更新村20号 </w:t>
      </w:r>
    </w:p>
    <w:p>
      <w:pPr>
        <w:keepNext w:val="0"/>
        <w:keepLines w:val="0"/>
        <w:pageBreakBefore w:val="0"/>
        <w:widowControl/>
        <w:wordWrap/>
        <w:overflowPunct/>
        <w:topLinePunct w:val="0"/>
        <w:bidi w:val="0"/>
        <w:adjustRightInd w:val="0"/>
        <w:snapToGrid w:val="0"/>
        <w:spacing w:line="440" w:lineRule="exac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法定代表人（负责人、经营者）：</w:t>
      </w:r>
      <w:r>
        <w:rPr>
          <w:rFonts w:hint="default" w:ascii="仿宋" w:hAnsi="仿宋" w:eastAsia="仿宋" w:cs="仿宋"/>
          <w:sz w:val="32"/>
          <w:szCs w:val="32"/>
          <w:lang w:val="en-US" w:eastAsia="zh-CN"/>
        </w:rPr>
        <w:t>林琼华</w:t>
      </w:r>
      <w:r>
        <w:rPr>
          <w:rFonts w:hint="eastAsia" w:ascii="仿宋" w:hAnsi="仿宋" w:eastAsia="仿宋" w:cs="仿宋"/>
          <w:sz w:val="32"/>
          <w:szCs w:val="32"/>
          <w:lang w:val="en-US" w:eastAsia="zh-CN"/>
        </w:rPr>
        <w:t xml:space="preserve">                   </w:t>
      </w:r>
    </w:p>
    <w:p>
      <w:pPr>
        <w:keepNext w:val="0"/>
        <w:keepLines w:val="0"/>
        <w:pageBreakBefore w:val="0"/>
        <w:widowControl/>
        <w:wordWrap/>
        <w:overflowPunct/>
        <w:topLinePunct w:val="0"/>
        <w:bidi w:val="0"/>
        <w:adjustRightInd w:val="0"/>
        <w:snapToGrid w:val="0"/>
        <w:spacing w:line="440" w:lineRule="exac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身份证件号码：</w:t>
      </w:r>
      <w:r>
        <w:rPr>
          <w:rFonts w:hint="eastAsia" w:ascii="宋体" w:hAnsi="宋体" w:eastAsia="宋体" w:cs="宋体"/>
          <w:sz w:val="32"/>
          <w:szCs w:val="32"/>
          <w:lang w:val="en-US" w:eastAsia="zh-CN"/>
        </w:rPr>
        <w:t>＊＊＊＊＊＊＊＊＊＊</w:t>
      </w:r>
      <w:bookmarkStart w:id="0" w:name="_GoBack"/>
      <w:bookmarkEnd w:id="0"/>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8月13日，我局辋川所执法人员收到县局的《案件线索交办通知书》，通知书上附有编号为A2210235333112006C的《检验报告》，报告显示当事人经营的食品“上海青”经华测检测认证集团股份有限公司检验，啶虫脒项目不符合 GB 2763-2019《食品安全国家标准 食品中农药最大残留限量》的要求，检验结论为不合格，执法人员于当日向当事人送达了该检验报告，并对当事人进行现场检查，发现该批“上海青”已售完。当事人对检验结论有异议，提出复检申请。经福州海关技术中心复检并出具《检验报告》（编号为204002100096），检验结论仍为不合格。2021年9月7日，我局执法人员对复检结果依法予以送达，并于当日立案调查。</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经查明：1.华测检测认证集团股份有限公司出具的</w:t>
      </w:r>
      <w:r>
        <w:rPr>
          <w:rFonts w:hint="default" w:ascii="仿宋" w:hAnsi="仿宋" w:eastAsia="仿宋" w:cs="仿宋"/>
          <w:sz w:val="32"/>
          <w:szCs w:val="32"/>
          <w:lang w:val="en-US" w:eastAsia="zh-CN"/>
        </w:rPr>
        <w:t>《检验报告》（No：</w:t>
      </w:r>
      <w:r>
        <w:rPr>
          <w:rFonts w:hint="eastAsia" w:ascii="仿宋" w:hAnsi="仿宋" w:eastAsia="仿宋" w:cs="仿宋"/>
          <w:sz w:val="32"/>
          <w:szCs w:val="32"/>
          <w:lang w:val="en-US" w:eastAsia="zh-CN"/>
        </w:rPr>
        <w:t>A2210235333112006C</w:t>
      </w:r>
      <w:r>
        <w:rPr>
          <w:rFonts w:hint="default" w:ascii="仿宋" w:hAnsi="仿宋" w:eastAsia="仿宋" w:cs="仿宋"/>
          <w:sz w:val="32"/>
          <w:szCs w:val="32"/>
          <w:lang w:val="en-US" w:eastAsia="zh-CN"/>
        </w:rPr>
        <w:t>）显示</w:t>
      </w:r>
      <w:r>
        <w:rPr>
          <w:rFonts w:hint="eastAsia" w:ascii="仿宋" w:hAnsi="仿宋" w:eastAsia="仿宋" w:cs="仿宋"/>
          <w:sz w:val="32"/>
          <w:szCs w:val="32"/>
          <w:lang w:val="en-US" w:eastAsia="zh-CN"/>
        </w:rPr>
        <w:t>当事人</w:t>
      </w:r>
      <w:r>
        <w:rPr>
          <w:rFonts w:hint="default" w:ascii="仿宋" w:hAnsi="仿宋" w:eastAsia="仿宋" w:cs="仿宋"/>
          <w:sz w:val="32"/>
          <w:szCs w:val="32"/>
          <w:lang w:val="en-US" w:eastAsia="zh-CN"/>
        </w:rPr>
        <w:t>经营的“</w:t>
      </w:r>
      <w:r>
        <w:rPr>
          <w:rFonts w:hint="eastAsia" w:ascii="仿宋" w:hAnsi="仿宋" w:eastAsia="仿宋" w:cs="仿宋"/>
          <w:sz w:val="32"/>
          <w:szCs w:val="32"/>
          <w:lang w:val="en-US" w:eastAsia="zh-CN"/>
        </w:rPr>
        <w:t>上海青</w:t>
      </w:r>
      <w:r>
        <w:rPr>
          <w:rFonts w:hint="default" w:ascii="仿宋" w:hAnsi="仿宋" w:eastAsia="仿宋" w:cs="仿宋"/>
          <w:sz w:val="32"/>
          <w:szCs w:val="32"/>
          <w:lang w:val="en-US" w:eastAsia="zh-CN"/>
        </w:rPr>
        <w:t>”（购进日期：2021-0</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07</w:t>
      </w:r>
      <w:r>
        <w:rPr>
          <w:rFonts w:hint="default" w:ascii="仿宋" w:hAnsi="仿宋" w:eastAsia="仿宋" w:cs="仿宋"/>
          <w:sz w:val="32"/>
          <w:szCs w:val="32"/>
          <w:lang w:val="en-US" w:eastAsia="zh-CN"/>
        </w:rPr>
        <w:t>）经抽样检验，</w:t>
      </w:r>
      <w:r>
        <w:rPr>
          <w:rFonts w:hint="eastAsia" w:ascii="仿宋" w:hAnsi="仿宋" w:eastAsia="仿宋" w:cs="仿宋"/>
          <w:sz w:val="32"/>
          <w:szCs w:val="32"/>
          <w:lang w:val="en-US" w:eastAsia="zh-CN"/>
        </w:rPr>
        <w:t>啶虫咪</w:t>
      </w:r>
      <w:r>
        <w:rPr>
          <w:rFonts w:hint="default" w:ascii="仿宋" w:hAnsi="仿宋" w:eastAsia="仿宋" w:cs="仿宋"/>
          <w:sz w:val="32"/>
          <w:szCs w:val="32"/>
          <w:lang w:val="en-US" w:eastAsia="zh-CN"/>
        </w:rPr>
        <w:t>项目实测值为1.</w:t>
      </w:r>
      <w:r>
        <w:rPr>
          <w:rFonts w:hint="eastAsia" w:ascii="仿宋" w:hAnsi="仿宋" w:eastAsia="仿宋" w:cs="仿宋"/>
          <w:sz w:val="32"/>
          <w:szCs w:val="32"/>
          <w:lang w:val="en-US" w:eastAsia="zh-CN"/>
        </w:rPr>
        <w:t>54</w:t>
      </w:r>
      <w:r>
        <w:rPr>
          <w:rFonts w:hint="default" w:ascii="仿宋" w:hAnsi="仿宋" w:eastAsia="仿宋" w:cs="仿宋"/>
          <w:sz w:val="32"/>
          <w:szCs w:val="32"/>
          <w:lang w:val="en-US" w:eastAsia="zh-CN"/>
        </w:rPr>
        <w:t>mg/kg，不符合GB 276</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-201</w:t>
      </w: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《食品安全国家标准 食品中</w:t>
      </w:r>
      <w:r>
        <w:rPr>
          <w:rFonts w:hint="eastAsia" w:ascii="仿宋" w:hAnsi="仿宋" w:eastAsia="仿宋" w:cs="仿宋"/>
          <w:sz w:val="32"/>
          <w:szCs w:val="32"/>
          <w:lang w:val="en-US" w:eastAsia="zh-CN"/>
        </w:rPr>
        <w:t>农药最大残留限量</w:t>
      </w:r>
      <w:r>
        <w:rPr>
          <w:rFonts w:hint="default" w:ascii="仿宋" w:hAnsi="仿宋" w:eastAsia="仿宋" w:cs="仿宋"/>
          <w:sz w:val="32"/>
          <w:szCs w:val="32"/>
          <w:lang w:val="en-US" w:eastAsia="zh-CN"/>
        </w:rPr>
        <w:t>》要求，检验结论为不合格。</w:t>
      </w:r>
      <w:r>
        <w:rPr>
          <w:rFonts w:hint="eastAsia" w:ascii="仿宋" w:hAnsi="仿宋" w:eastAsia="仿宋" w:cs="仿宋"/>
          <w:sz w:val="32"/>
          <w:szCs w:val="32"/>
          <w:lang w:val="en-US" w:eastAsia="zh-CN"/>
        </w:rPr>
        <w:t>根据当事人的</w:t>
      </w:r>
      <w:r>
        <w:rPr>
          <w:rFonts w:hint="default" w:ascii="仿宋" w:hAnsi="仿宋" w:eastAsia="仿宋" w:cs="仿宋"/>
          <w:sz w:val="32"/>
          <w:szCs w:val="32"/>
          <w:lang w:val="en-US" w:eastAsia="zh-CN"/>
        </w:rPr>
        <w:t>复检</w:t>
      </w:r>
      <w:r>
        <w:rPr>
          <w:rFonts w:hint="eastAsia" w:ascii="仿宋" w:hAnsi="仿宋" w:eastAsia="仿宋" w:cs="仿宋"/>
          <w:sz w:val="32"/>
          <w:szCs w:val="32"/>
          <w:lang w:val="en-US" w:eastAsia="zh-CN"/>
        </w:rPr>
        <w:t>申请,福州海关技术中心对此进行了复检，并出具检验报告（No:204002100096),检验结果表明为上海青含有啶虫咪1.4</w:t>
      </w:r>
      <w:r>
        <w:rPr>
          <w:rFonts w:hint="default" w:ascii="仿宋" w:hAnsi="仿宋" w:eastAsia="仿宋" w:cs="仿宋"/>
          <w:sz w:val="32"/>
          <w:szCs w:val="32"/>
          <w:lang w:val="en-US" w:eastAsia="zh-CN"/>
        </w:rPr>
        <w:t>mg/kg</w:t>
      </w:r>
      <w:r>
        <w:rPr>
          <w:rFonts w:hint="eastAsia" w:ascii="仿宋" w:hAnsi="仿宋" w:eastAsia="仿宋" w:cs="仿宋"/>
          <w:sz w:val="32"/>
          <w:szCs w:val="32"/>
          <w:lang w:val="en-US" w:eastAsia="zh-CN"/>
        </w:rPr>
        <w:t>,检验结论为不合格。</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2.当事人于2021年7月7日以6元/kg的价格向</w:t>
      </w:r>
      <w:r>
        <w:rPr>
          <w:rFonts w:hint="default" w:ascii="仿宋" w:hAnsi="仿宋" w:eastAsia="仿宋" w:cs="仿宋"/>
          <w:sz w:val="32"/>
          <w:szCs w:val="32"/>
          <w:lang w:val="en-US" w:eastAsia="zh-CN"/>
        </w:rPr>
        <w:t>惠安县</w:t>
      </w:r>
      <w:r>
        <w:rPr>
          <w:rFonts w:hint="eastAsia" w:ascii="仿宋" w:hAnsi="仿宋" w:eastAsia="仿宋" w:cs="仿宋"/>
          <w:sz w:val="32"/>
          <w:szCs w:val="32"/>
          <w:lang w:val="en-US" w:eastAsia="zh-CN"/>
        </w:rPr>
        <w:t>佳新盛蔬菜摊购进涉案批次上海青7.5kg,当天上架销售，并于当日以7.16</w:t>
      </w:r>
      <w:r>
        <w:rPr>
          <w:rFonts w:hint="default" w:ascii="仿宋" w:hAnsi="仿宋" w:eastAsia="仿宋" w:cs="仿宋"/>
          <w:sz w:val="32"/>
          <w:szCs w:val="32"/>
          <w:lang w:val="en-US" w:eastAsia="zh-CN"/>
        </w:rPr>
        <w:t>元/kg</w:t>
      </w:r>
      <w:r>
        <w:rPr>
          <w:rFonts w:hint="eastAsia" w:ascii="仿宋" w:hAnsi="仿宋" w:eastAsia="仿宋" w:cs="仿宋"/>
          <w:sz w:val="32"/>
          <w:szCs w:val="32"/>
          <w:lang w:val="en-US" w:eastAsia="zh-CN"/>
        </w:rPr>
        <w:t>的售价全部销售完毕（</w:t>
      </w:r>
      <w:r>
        <w:rPr>
          <w:rFonts w:hint="default" w:ascii="仿宋" w:hAnsi="仿宋" w:eastAsia="仿宋" w:cs="仿宋"/>
          <w:sz w:val="32"/>
          <w:szCs w:val="32"/>
          <w:lang w:val="en-US" w:eastAsia="zh-CN"/>
        </w:rPr>
        <w:t>其中</w:t>
      </w:r>
      <w:r>
        <w:rPr>
          <w:rFonts w:hint="eastAsia" w:ascii="仿宋" w:hAnsi="仿宋" w:eastAsia="仿宋" w:cs="仿宋"/>
          <w:sz w:val="32"/>
          <w:szCs w:val="32"/>
          <w:lang w:val="en-US" w:eastAsia="zh-CN"/>
        </w:rPr>
        <w:t>2.57</w:t>
      </w:r>
      <w:r>
        <w:rPr>
          <w:rFonts w:hint="default" w:ascii="仿宋" w:hAnsi="仿宋" w:eastAsia="仿宋" w:cs="仿宋"/>
          <w:sz w:val="32"/>
          <w:szCs w:val="32"/>
          <w:lang w:val="en-US" w:eastAsia="zh-CN"/>
        </w:rPr>
        <w:t>kg作为抽样样品</w:t>
      </w:r>
      <w:r>
        <w:rPr>
          <w:rFonts w:hint="eastAsia" w:ascii="仿宋" w:hAnsi="仿宋" w:eastAsia="仿宋" w:cs="仿宋"/>
          <w:sz w:val="32"/>
          <w:szCs w:val="32"/>
          <w:lang w:val="en-US" w:eastAsia="zh-CN"/>
        </w:rPr>
        <w:t>、1.15</w:t>
      </w:r>
      <w:r>
        <w:rPr>
          <w:rFonts w:hint="default" w:ascii="仿宋" w:hAnsi="仿宋" w:eastAsia="仿宋" w:cs="仿宋"/>
          <w:sz w:val="32"/>
          <w:szCs w:val="32"/>
          <w:lang w:val="en-US" w:eastAsia="zh-CN"/>
        </w:rPr>
        <w:t>kg</w:t>
      </w:r>
      <w:r>
        <w:rPr>
          <w:rFonts w:hint="eastAsia" w:ascii="仿宋" w:hAnsi="仿宋" w:eastAsia="仿宋" w:cs="仿宋"/>
          <w:sz w:val="32"/>
          <w:szCs w:val="32"/>
          <w:lang w:val="en-US" w:eastAsia="zh-CN"/>
        </w:rPr>
        <w:t>作为备样），总货值金额为53.7元，违法所得为53.7元。案发后，当事人立即按要求进行召回，召回数量为零。</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现场笔录》、现场检查照片各一份；《询问笔录》两份；当事人《营业执照（副本）》、《食品经营许可证（副本）》、经营者身份证复印件、授权委托书及代理人的身份证复印件各一份；《案件线索交办通知书》及检验检测机构资质材料各一份；华测检测认证集团股份有限公司出具的</w:t>
      </w:r>
      <w:r>
        <w:rPr>
          <w:rFonts w:hint="default" w:ascii="仿宋" w:hAnsi="仿宋" w:eastAsia="仿宋" w:cs="仿宋"/>
          <w:sz w:val="32"/>
          <w:szCs w:val="32"/>
          <w:lang w:val="en-US" w:eastAsia="zh-CN"/>
        </w:rPr>
        <w:t>《检验报告》（No：</w:t>
      </w:r>
      <w:r>
        <w:rPr>
          <w:rFonts w:hint="eastAsia" w:ascii="仿宋" w:hAnsi="仿宋" w:eastAsia="仿宋" w:cs="仿宋"/>
          <w:sz w:val="32"/>
          <w:szCs w:val="32"/>
          <w:lang w:val="en-US" w:eastAsia="zh-CN"/>
        </w:rPr>
        <w:t>A2210235333112006C</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及福建省食品安全监督抽检通知书（惠市监（督检）告字〔2021〕7号）各一份；福州海关技术中心出具的《检验报告》（报告编号No：204002100096）及福建省食品安全监督抽检通知书（惠市监（复检）告字〔2021〕13号）各一份；《国家食品安全抽样检验抽样单》一份；新东升超市进货记录表、供货商的《营业执照（副本）》复印件、供货商经营者的身份证复印件、《销售清单》及食品抽样检测时的销售小票一份；召回公告及召回情况各一份等。</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以上证据为办案人员在调查过程中收集的证据并经当事人确认，具有关联性，能相互佐证，对当事人的违法事实足以认定。</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11月18日,本局向当事人送达《惠安县市场监督管理局行政处罚听证告知书》（编号：惠市监（辋川）听告〔2021〕4号），依法告知当事人本局拟对其违法行为作出行政处罚的事实、理由、依据、处罚内容及享有的权利。在法定期限内，当事人未提出陈述、申辩，也未要求听证。</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综上，本局认为，当事人经营的上海青（</w:t>
      </w:r>
      <w:r>
        <w:rPr>
          <w:rFonts w:hint="default" w:ascii="仿宋" w:hAnsi="仿宋" w:eastAsia="仿宋" w:cs="仿宋"/>
          <w:sz w:val="32"/>
          <w:szCs w:val="32"/>
          <w:lang w:val="en-US" w:eastAsia="zh-CN"/>
        </w:rPr>
        <w:t>购进日期：2021-0</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07）经抽样检验不合格，违反了《中华人民共和国食品安全法》第三十四条第（二）项、《食用农产品市场销售质量安全监督管理办法》第二十五条第（二）项之规定，构成了销售农药残留超过食品安全标准的食品的违法行为。</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鉴于当事人积极配合调查，如实陈述违法事实并主动提供证据材料，决定予以从轻行政处罚。                </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依据《食用农产品市场销售质量安全监督管理办法》第五十条第二款、《中华人民共和国食品安全法》第一百二十四条第一款第（一）项之规定，决定对当事人的违法行为做出如下处理：</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1、没收违法所得53.7元；</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2、处罚款50000元。</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所处罚款，当事人应当在接到本行政处罚决定书之日起十五日内（末日为节假日顺延），到本局辋川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如对本行政处罚决定不服，可于收到本决定书之日起六十日内向惠安县人民政府或者泉州市市场监督管理局申请复议，也可以于六个月内依法向人民法院提起行政诉讼。前述期间，本行政处罚不停止执行。</w:t>
      </w:r>
    </w:p>
    <w:p>
      <w:pPr>
        <w:keepNext w:val="0"/>
        <w:keepLines w:val="0"/>
        <w:pageBreakBefore w:val="0"/>
        <w:widowControl/>
        <w:wordWrap/>
        <w:overflowPunct/>
        <w:topLinePunct w:val="0"/>
        <w:bidi w:val="0"/>
        <w:adjustRightInd w:val="0"/>
        <w:snapToGrid w:val="0"/>
        <w:spacing w:line="440" w:lineRule="exact"/>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440" w:lineRule="exact"/>
        <w:jc w:val="right"/>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440" w:lineRule="exact"/>
        <w:jc w:val="right"/>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惠安县市场监督管理局</w:t>
      </w:r>
    </w:p>
    <w:p>
      <w:pPr>
        <w:keepNext w:val="0"/>
        <w:keepLines w:val="0"/>
        <w:pageBreakBefore w:val="0"/>
        <w:widowControl/>
        <w:wordWrap/>
        <w:overflowPunct/>
        <w:topLinePunct w:val="0"/>
        <w:bidi w:val="0"/>
        <w:adjustRightInd w:val="0"/>
        <w:snapToGrid w:val="0"/>
        <w:spacing w:line="440" w:lineRule="exact"/>
        <w:jc w:val="center"/>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 xml:space="preserve">                                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keepNext w:val="0"/>
        <w:keepLines w:val="0"/>
        <w:pageBreakBefore w:val="0"/>
        <w:widowControl/>
        <w:wordWrap/>
        <w:overflowPunct/>
        <w:topLinePunct w:val="0"/>
        <w:bidi w:val="0"/>
        <w:adjustRightInd w:val="0"/>
        <w:snapToGrid w:val="0"/>
        <w:spacing w:line="440" w:lineRule="exact"/>
        <w:jc w:val="center"/>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440" w:lineRule="exact"/>
        <w:jc w:val="center"/>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440" w:lineRule="exact"/>
        <w:jc w:val="center"/>
        <w:textAlignment w:val="baseline"/>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b/>
          <w:bCs/>
          <w:sz w:val="32"/>
          <w:szCs w:val="32"/>
        </w:rPr>
        <w:t>（市场监督管理部门将依法向社会公开行政处罚决定信息）</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t xml:space="preserve">第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eastAsia="zh-CN"/>
                            </w:rPr>
                            <w:t xml:space="preserve"> 页 共 </w:t>
                          </w:r>
                          <w:r>
                            <w:rPr>
                              <w:rFonts w:hint="eastAsia" w:eastAsia="宋体"/>
                              <w:sz w:val="28"/>
                              <w:szCs w:val="28"/>
                              <w:lang w:eastAsia="zh-CN"/>
                            </w:rPr>
                            <w:fldChar w:fldCharType="begin"/>
                          </w:r>
                          <w:r>
                            <w:rPr>
                              <w:rFonts w:hint="eastAsia" w:eastAsia="宋体"/>
                              <w:sz w:val="28"/>
                              <w:szCs w:val="28"/>
                              <w:lang w:eastAsia="zh-CN"/>
                            </w:rPr>
                            <w:instrText xml:space="preserve"> NUMPAGES  \* MERGEFORMAT </w:instrText>
                          </w:r>
                          <w:r>
                            <w:rPr>
                              <w:rFonts w:hint="eastAsia" w:eastAsia="宋体"/>
                              <w:sz w:val="28"/>
                              <w:szCs w:val="28"/>
                              <w:lang w:eastAsia="zh-CN"/>
                            </w:rPr>
                            <w:fldChar w:fldCharType="separate"/>
                          </w:r>
                          <w:r>
                            <w:rPr>
                              <w:rFonts w:hint="eastAsia" w:eastAsia="宋体"/>
                              <w:sz w:val="28"/>
                              <w:szCs w:val="28"/>
                              <w:lang w:eastAsia="zh-CN"/>
                            </w:rPr>
                            <w:t>4</w:t>
                          </w:r>
                          <w:r>
                            <w:rPr>
                              <w:rFonts w:hint="eastAsia" w:eastAsia="宋体"/>
                              <w:sz w:val="28"/>
                              <w:szCs w:val="28"/>
                              <w:lang w:eastAsia="zh-CN"/>
                            </w:rPr>
                            <w:fldChar w:fldCharType="end"/>
                          </w:r>
                          <w:r>
                            <w:rPr>
                              <w:rFonts w:hint="eastAsia" w:eastAsia="宋体"/>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t xml:space="preserve">第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eastAsia="zh-CN"/>
                      </w:rPr>
                      <w:t xml:space="preserve"> 页 共 </w:t>
                    </w:r>
                    <w:r>
                      <w:rPr>
                        <w:rFonts w:hint="eastAsia" w:eastAsia="宋体"/>
                        <w:sz w:val="28"/>
                        <w:szCs w:val="28"/>
                        <w:lang w:eastAsia="zh-CN"/>
                      </w:rPr>
                      <w:fldChar w:fldCharType="begin"/>
                    </w:r>
                    <w:r>
                      <w:rPr>
                        <w:rFonts w:hint="eastAsia" w:eastAsia="宋体"/>
                        <w:sz w:val="28"/>
                        <w:szCs w:val="28"/>
                        <w:lang w:eastAsia="zh-CN"/>
                      </w:rPr>
                      <w:instrText xml:space="preserve"> NUMPAGES  \* MERGEFORMAT </w:instrText>
                    </w:r>
                    <w:r>
                      <w:rPr>
                        <w:rFonts w:hint="eastAsia" w:eastAsia="宋体"/>
                        <w:sz w:val="28"/>
                        <w:szCs w:val="28"/>
                        <w:lang w:eastAsia="zh-CN"/>
                      </w:rPr>
                      <w:fldChar w:fldCharType="separate"/>
                    </w:r>
                    <w:r>
                      <w:rPr>
                        <w:rFonts w:hint="eastAsia" w:eastAsia="宋体"/>
                        <w:sz w:val="28"/>
                        <w:szCs w:val="28"/>
                        <w:lang w:eastAsia="zh-CN"/>
                      </w:rPr>
                      <w:t>4</w:t>
                    </w:r>
                    <w:r>
                      <w:rPr>
                        <w:rFonts w:hint="eastAsia" w:eastAsia="宋体"/>
                        <w:sz w:val="28"/>
                        <w:szCs w:val="28"/>
                        <w:lang w:eastAsia="zh-CN"/>
                      </w:rPr>
                      <w:fldChar w:fldCharType="end"/>
                    </w:r>
                    <w:r>
                      <w:rPr>
                        <w:rFonts w:hint="eastAsia" w:eastAsia="宋体"/>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36"/>
                              <w:lang w:eastAsia="zh-CN"/>
                            </w:rPr>
                          </w:pPr>
                          <w:r>
                            <w:rPr>
                              <w:rFonts w:hint="eastAsia" w:eastAsia="宋体"/>
                              <w:sz w:val="28"/>
                              <w:szCs w:val="36"/>
                              <w:lang w:eastAsia="zh-CN"/>
                            </w:rPr>
                            <w:t xml:space="preserve">第 </w:t>
                          </w:r>
                          <w:r>
                            <w:rPr>
                              <w:rFonts w:hint="eastAsia" w:eastAsia="宋体"/>
                              <w:sz w:val="28"/>
                              <w:szCs w:val="36"/>
                              <w:lang w:eastAsia="zh-CN"/>
                            </w:rPr>
                            <w:fldChar w:fldCharType="begin"/>
                          </w:r>
                          <w:r>
                            <w:rPr>
                              <w:rFonts w:hint="eastAsia" w:eastAsia="宋体"/>
                              <w:sz w:val="28"/>
                              <w:szCs w:val="36"/>
                              <w:lang w:eastAsia="zh-CN"/>
                            </w:rPr>
                            <w:instrText xml:space="preserve"> PAGE  \* MERGEFORMAT </w:instrText>
                          </w:r>
                          <w:r>
                            <w:rPr>
                              <w:rFonts w:hint="eastAsia" w:eastAsia="宋体"/>
                              <w:sz w:val="28"/>
                              <w:szCs w:val="36"/>
                              <w:lang w:eastAsia="zh-CN"/>
                            </w:rPr>
                            <w:fldChar w:fldCharType="separate"/>
                          </w:r>
                          <w:r>
                            <w:rPr>
                              <w:rFonts w:hint="eastAsia" w:eastAsia="宋体"/>
                              <w:sz w:val="28"/>
                              <w:szCs w:val="36"/>
                              <w:lang w:eastAsia="zh-CN"/>
                            </w:rPr>
                            <w:t>2</w:t>
                          </w:r>
                          <w:r>
                            <w:rPr>
                              <w:rFonts w:hint="eastAsia" w:eastAsia="宋体"/>
                              <w:sz w:val="28"/>
                              <w:szCs w:val="36"/>
                              <w:lang w:eastAsia="zh-CN"/>
                            </w:rPr>
                            <w:fldChar w:fldCharType="end"/>
                          </w:r>
                          <w:r>
                            <w:rPr>
                              <w:rFonts w:hint="eastAsia" w:eastAsia="宋体"/>
                              <w:sz w:val="28"/>
                              <w:szCs w:val="36"/>
                              <w:lang w:eastAsia="zh-CN"/>
                            </w:rPr>
                            <w:t xml:space="preserve"> 页 共 </w:t>
                          </w:r>
                          <w:r>
                            <w:rPr>
                              <w:rFonts w:hint="eastAsia" w:eastAsia="宋体"/>
                              <w:sz w:val="28"/>
                              <w:szCs w:val="36"/>
                              <w:lang w:eastAsia="zh-CN"/>
                            </w:rPr>
                            <w:fldChar w:fldCharType="begin"/>
                          </w:r>
                          <w:r>
                            <w:rPr>
                              <w:rFonts w:hint="eastAsia" w:eastAsia="宋体"/>
                              <w:sz w:val="28"/>
                              <w:szCs w:val="36"/>
                              <w:lang w:eastAsia="zh-CN"/>
                            </w:rPr>
                            <w:instrText xml:space="preserve"> NUMPAGES  \* MERGEFORMAT </w:instrText>
                          </w:r>
                          <w:r>
                            <w:rPr>
                              <w:rFonts w:hint="eastAsia" w:eastAsia="宋体"/>
                              <w:sz w:val="28"/>
                              <w:szCs w:val="36"/>
                              <w:lang w:eastAsia="zh-CN"/>
                            </w:rPr>
                            <w:fldChar w:fldCharType="separate"/>
                          </w:r>
                          <w:r>
                            <w:rPr>
                              <w:rFonts w:hint="eastAsia" w:eastAsia="宋体"/>
                              <w:sz w:val="28"/>
                              <w:szCs w:val="36"/>
                              <w:lang w:eastAsia="zh-CN"/>
                            </w:rPr>
                            <w:t>4</w:t>
                          </w:r>
                          <w:r>
                            <w:rPr>
                              <w:rFonts w:hint="eastAsia" w:eastAsia="宋体"/>
                              <w:sz w:val="28"/>
                              <w:szCs w:val="36"/>
                              <w:lang w:eastAsia="zh-CN"/>
                            </w:rPr>
                            <w:fldChar w:fldCharType="end"/>
                          </w:r>
                          <w:r>
                            <w:rPr>
                              <w:rFonts w:hint="eastAsia" w:eastAsia="宋体"/>
                              <w:sz w:val="28"/>
                              <w:szCs w:val="36"/>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sz w:val="28"/>
                        <w:szCs w:val="36"/>
                        <w:lang w:eastAsia="zh-CN"/>
                      </w:rPr>
                    </w:pPr>
                    <w:r>
                      <w:rPr>
                        <w:rFonts w:hint="eastAsia" w:eastAsia="宋体"/>
                        <w:sz w:val="28"/>
                        <w:szCs w:val="36"/>
                        <w:lang w:eastAsia="zh-CN"/>
                      </w:rPr>
                      <w:t xml:space="preserve">第 </w:t>
                    </w:r>
                    <w:r>
                      <w:rPr>
                        <w:rFonts w:hint="eastAsia" w:eastAsia="宋体"/>
                        <w:sz w:val="28"/>
                        <w:szCs w:val="36"/>
                        <w:lang w:eastAsia="zh-CN"/>
                      </w:rPr>
                      <w:fldChar w:fldCharType="begin"/>
                    </w:r>
                    <w:r>
                      <w:rPr>
                        <w:rFonts w:hint="eastAsia" w:eastAsia="宋体"/>
                        <w:sz w:val="28"/>
                        <w:szCs w:val="36"/>
                        <w:lang w:eastAsia="zh-CN"/>
                      </w:rPr>
                      <w:instrText xml:space="preserve"> PAGE  \* MERGEFORMAT </w:instrText>
                    </w:r>
                    <w:r>
                      <w:rPr>
                        <w:rFonts w:hint="eastAsia" w:eastAsia="宋体"/>
                        <w:sz w:val="28"/>
                        <w:szCs w:val="36"/>
                        <w:lang w:eastAsia="zh-CN"/>
                      </w:rPr>
                      <w:fldChar w:fldCharType="separate"/>
                    </w:r>
                    <w:r>
                      <w:rPr>
                        <w:rFonts w:hint="eastAsia" w:eastAsia="宋体"/>
                        <w:sz w:val="28"/>
                        <w:szCs w:val="36"/>
                        <w:lang w:eastAsia="zh-CN"/>
                      </w:rPr>
                      <w:t>2</w:t>
                    </w:r>
                    <w:r>
                      <w:rPr>
                        <w:rFonts w:hint="eastAsia" w:eastAsia="宋体"/>
                        <w:sz w:val="28"/>
                        <w:szCs w:val="36"/>
                        <w:lang w:eastAsia="zh-CN"/>
                      </w:rPr>
                      <w:fldChar w:fldCharType="end"/>
                    </w:r>
                    <w:r>
                      <w:rPr>
                        <w:rFonts w:hint="eastAsia" w:eastAsia="宋体"/>
                        <w:sz w:val="28"/>
                        <w:szCs w:val="36"/>
                        <w:lang w:eastAsia="zh-CN"/>
                      </w:rPr>
                      <w:t xml:space="preserve"> 页 共 </w:t>
                    </w:r>
                    <w:r>
                      <w:rPr>
                        <w:rFonts w:hint="eastAsia" w:eastAsia="宋体"/>
                        <w:sz w:val="28"/>
                        <w:szCs w:val="36"/>
                        <w:lang w:eastAsia="zh-CN"/>
                      </w:rPr>
                      <w:fldChar w:fldCharType="begin"/>
                    </w:r>
                    <w:r>
                      <w:rPr>
                        <w:rFonts w:hint="eastAsia" w:eastAsia="宋体"/>
                        <w:sz w:val="28"/>
                        <w:szCs w:val="36"/>
                        <w:lang w:eastAsia="zh-CN"/>
                      </w:rPr>
                      <w:instrText xml:space="preserve"> NUMPAGES  \* MERGEFORMAT </w:instrText>
                    </w:r>
                    <w:r>
                      <w:rPr>
                        <w:rFonts w:hint="eastAsia" w:eastAsia="宋体"/>
                        <w:sz w:val="28"/>
                        <w:szCs w:val="36"/>
                        <w:lang w:eastAsia="zh-CN"/>
                      </w:rPr>
                      <w:fldChar w:fldCharType="separate"/>
                    </w:r>
                    <w:r>
                      <w:rPr>
                        <w:rFonts w:hint="eastAsia" w:eastAsia="宋体"/>
                        <w:sz w:val="28"/>
                        <w:szCs w:val="36"/>
                        <w:lang w:eastAsia="zh-CN"/>
                      </w:rPr>
                      <w:t>4</w:t>
                    </w:r>
                    <w:r>
                      <w:rPr>
                        <w:rFonts w:hint="eastAsia" w:eastAsia="宋体"/>
                        <w:sz w:val="28"/>
                        <w:szCs w:val="36"/>
                        <w:lang w:eastAsia="zh-CN"/>
                      </w:rPr>
                      <w:fldChar w:fldCharType="end"/>
                    </w:r>
                    <w:r>
                      <w:rPr>
                        <w:rFonts w:hint="eastAsia" w:eastAsia="宋体"/>
                        <w:sz w:val="28"/>
                        <w:szCs w:val="36"/>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210"/>
    <w:rsid w:val="03A87D6C"/>
    <w:rsid w:val="076F1E2B"/>
    <w:rsid w:val="08F130CA"/>
    <w:rsid w:val="0F3B05D8"/>
    <w:rsid w:val="11955C73"/>
    <w:rsid w:val="18A35176"/>
    <w:rsid w:val="279D6A9F"/>
    <w:rsid w:val="2E495C89"/>
    <w:rsid w:val="37E33A84"/>
    <w:rsid w:val="3F6E1DE7"/>
    <w:rsid w:val="404C082F"/>
    <w:rsid w:val="482056A7"/>
    <w:rsid w:val="49502522"/>
    <w:rsid w:val="51313039"/>
    <w:rsid w:val="56A879B3"/>
    <w:rsid w:val="692C0BBA"/>
    <w:rsid w:val="71D011B6"/>
    <w:rsid w:val="71E92882"/>
    <w:rsid w:val="75A83770"/>
    <w:rsid w:val="7603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red"/>
    <w:basedOn w:val="6"/>
    <w:qFormat/>
    <w:uiPriority w:val="0"/>
    <w:rPr>
      <w:color w:val="FF0000"/>
    </w:rPr>
  </w:style>
  <w:style w:type="character" w:customStyle="1" w:styleId="13">
    <w:name w:val="default"/>
    <w:basedOn w:val="6"/>
    <w:qFormat/>
    <w:uiPriority w:val="0"/>
  </w:style>
  <w:style w:type="character" w:customStyle="1" w:styleId="14">
    <w:name w:val="brt"/>
    <w:basedOn w:val="6"/>
    <w:qFormat/>
    <w:uiPriority w:val="0"/>
  </w:style>
  <w:style w:type="character" w:customStyle="1" w:styleId="15">
    <w:name w:val="show"/>
    <w:basedOn w:val="6"/>
    <w:qFormat/>
    <w:uiPriority w:val="0"/>
  </w:style>
  <w:style w:type="character" w:customStyle="1" w:styleId="16">
    <w:name w:val="show1"/>
    <w:basedOn w:val="6"/>
    <w:qFormat/>
    <w:uiPriority w:val="0"/>
  </w:style>
  <w:style w:type="character" w:customStyle="1" w:styleId="17">
    <w:name w:val="num"/>
    <w:basedOn w:val="6"/>
    <w:qFormat/>
    <w:uiPriority w:val="0"/>
    <w:rPr>
      <w:rFonts w:ascii="Arial" w:hAnsi="Arial" w:cs="Arial"/>
      <w:color w:val="FFFFFF"/>
      <w:sz w:val="16"/>
      <w:szCs w:val="16"/>
    </w:rPr>
  </w:style>
  <w:style w:type="character" w:customStyle="1" w:styleId="18">
    <w:name w:val="blf"/>
    <w:basedOn w:val="6"/>
    <w:qFormat/>
    <w:uiPriority w:val="0"/>
  </w:style>
  <w:style w:type="character" w:customStyle="1" w:styleId="19">
    <w:name w:val="default2"/>
    <w:basedOn w:val="6"/>
    <w:qFormat/>
    <w:uiPriority w:val="0"/>
  </w:style>
  <w:style w:type="character" w:customStyle="1" w:styleId="20">
    <w:name w:val="show2"/>
    <w:basedOn w:val="6"/>
    <w:qFormat/>
    <w:uiPriority w:val="0"/>
  </w:style>
  <w:style w:type="character" w:customStyle="1" w:styleId="21">
    <w:name w:val="show3"/>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evecom</cp:lastModifiedBy>
  <cp:lastPrinted>2021-11-28T01:18:35Z</cp:lastPrinted>
  <dcterms:modified xsi:type="dcterms:W3CDTF">2021-11-28T01:22:48Z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