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231F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惠安县市场监督管理局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231F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市监罚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〔</w:t>
      </w:r>
      <w:r>
        <w:rPr>
          <w:rFonts w:hint="eastAsia" w:ascii="仿宋" w:hAnsi="仿宋" w:eastAsia="仿宋" w:cs="仿宋"/>
          <w:spacing w:val="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0"/>
          <w:sz w:val="32"/>
          <w:szCs w:val="32"/>
          <w:u w:val="single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89"/>
          <w:sz w:val="32"/>
          <w:szCs w:val="32"/>
        </w:rPr>
        <w:t>当事</w:t>
      </w:r>
      <w:r>
        <w:rPr>
          <w:rFonts w:hint="eastAsia" w:ascii="仿宋_GB2312" w:hAnsi="仿宋_GB2312" w:eastAsia="仿宋_GB2312" w:cs="仿宋_GB2312"/>
          <w:spacing w:val="0"/>
          <w:w w:val="89"/>
          <w:sz w:val="32"/>
          <w:szCs w:val="32"/>
          <w:u w:val="none"/>
        </w:rPr>
        <w:t>人：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eastAsia="zh-CN"/>
        </w:rPr>
        <w:t>泉州市瑶梦网络科技有限公司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89"/>
          <w:sz w:val="32"/>
          <w:szCs w:val="32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主体资格证照名称：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eastAsia="zh-CN"/>
        </w:rPr>
        <w:t>营业执照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统一社会信用代码：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91350521MA33B79F4P 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住所（住址）：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福建省泉州市惠安县涂寨镇温厝村卢厝40号      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法定代表人（负责人、经营者</w:t>
      </w:r>
      <w:r>
        <w:rPr>
          <w:rFonts w:hint="eastAsia" w:ascii="仿宋_GB2312" w:hAnsi="仿宋_GB2312" w:eastAsia="仿宋_GB2312" w:cs="仿宋_GB2312"/>
          <w:spacing w:val="0"/>
          <w:w w:val="67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eastAsia="zh-CN"/>
        </w:rPr>
        <w:t>赵志红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98"/>
          <w:sz w:val="32"/>
          <w:szCs w:val="32"/>
        </w:rPr>
        <w:t>身份证件号码：</w:t>
      </w:r>
      <w:r>
        <w:rPr>
          <w:rFonts w:hint="eastAsia" w:ascii="仿宋_GB2312" w:hAnsi="仿宋_GB2312" w:eastAsia="仿宋_GB2312" w:cs="仿宋_GB2312"/>
          <w:spacing w:val="0"/>
          <w:w w:val="98"/>
          <w:sz w:val="32"/>
          <w:szCs w:val="32"/>
          <w:u w:val="single"/>
          <w:lang w:val="en-US" w:eastAsia="zh-CN"/>
        </w:rPr>
        <w:t>******************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firstLine="611" w:firstLineChars="191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2021年11月2日，本局收到惠安县人民检察院《检察建议书》（惠检检建受﹝2021﹞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号）,并根据该建议书对涉嫌转让营业执照的违法行为予以立案调查，现已终结。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firstLine="611" w:firstLineChars="191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现查明，经惠安县人民法院审理，赵志红为谋取利益，办理由其担任法定代表人的泉州市瑶梦网络科技有限公司营业执照、对公账户，并将该营业执照及对公账户一并提供给他人用于信息网络犯罪。赵志红因犯帮助信息网络犯罪活动罪于2021年3月31日被惠安县人民法院判处刑罚。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firstLine="611" w:firstLineChars="191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上述事实，有以下证据证明：1、福建省惠安县人民检察院《检察建议书》（惠检检建受﹝2021﹞20号）；2、福建省惠安县人民法院《刑事判决书》【（2021）闽0521刑初318号】复印件、惠安县公安局的讯问笔录复印件；3、内资企业登记基本情况表、当事人法定代表人信息表；4、当事人经营场所房屋所有权人提供的情况说明及其身份证复印件。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firstLine="611" w:firstLineChars="191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日，本局向当事人送达了惠市监（涂寨）听告〔2022〕30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号《惠安县市场监督管理局行政处罚听证告知书》，依法告知当事人本局拟作出行政处罚的事实、理由、依据、处罚内容及享有的权利。在法定期限内，当事人未提出陈述、申辩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或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要求听证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firstLine="611" w:firstLineChars="191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本局认为，当事人转让营业执照的行为违反了《中华人民共和国市场主体登记管理条例》第三十七条“任何单位和个人不得伪造、涂改、出租、出借、转让营业执照”（原</w:t>
      </w:r>
      <w:bookmarkStart w:id="0" w:name="OLE_LINK1"/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《中华人民共和国公司登记管理条例》</w:t>
      </w:r>
      <w:bookmarkEnd w:id="0"/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第五十九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第一款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）的规定。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firstLine="611" w:firstLineChars="191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鉴于当事人其法定代表人赵志红（已被追究刑事责任，判处罚金人民币一万元）不以实际经营为目的，申领并转让营业执照给他人实施犯罪，属于情节严重，应予以从重处罚。《中华人民共和国市场主体登记管理条例》第四十八条“市场主体伪造、涂改、出租、出借、转让营业执照的，由登记机关没收违法所得，处10万元以下的罚款；情节严重的，处10万元以上50万元以下的罚款，吊销营业执照”（原</w:t>
      </w:r>
      <w:bookmarkStart w:id="1" w:name="12"/>
      <w:r>
        <w:rPr>
          <w:rFonts w:hint="eastAsia" w:ascii="仿宋_GB2312" w:hAnsi="宋体" w:eastAsia="仿宋_GB2312"/>
          <w:color w:val="000000"/>
          <w:sz w:val="32"/>
          <w:szCs w:val="32"/>
        </w:rPr>
        <w:t>《</w:t>
      </w:r>
      <w:bookmarkStart w:id="2" w:name="OLE_LINK4"/>
      <w:r>
        <w:rPr>
          <w:rFonts w:hint="eastAsia" w:ascii="仿宋_GB2312" w:hAnsi="宋体" w:eastAsia="仿宋_GB2312"/>
          <w:color w:val="000000"/>
          <w:sz w:val="32"/>
          <w:szCs w:val="32"/>
        </w:rPr>
        <w:t>中华人民共和国公司登记管理条例》</w:t>
      </w:r>
      <w:bookmarkEnd w:id="1"/>
      <w:r>
        <w:rPr>
          <w:rFonts w:hint="eastAsia" w:ascii="仿宋_GB2312" w:hAnsi="宋体" w:eastAsia="仿宋_GB2312"/>
          <w:color w:val="000000"/>
          <w:sz w:val="32"/>
          <w:szCs w:val="32"/>
        </w:rPr>
        <w:t>第七十一条</w:t>
      </w:r>
      <w:bookmarkEnd w:id="2"/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）之规定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本局决定对当事人作如下处理：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firstLine="611" w:firstLineChars="191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吊销当事人的营业执照。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如对本行政处罚决定不服，可于收到本决定书之日起六十日内向惠安县人民政府申请复议，也可以于六个月内依法向人民法院提起行政诉讼。前述期间，本行政处罚不停止执行。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480" w:firstLineChars="1400"/>
        <w:textAlignment w:val="baseline"/>
        <w:outlineLvl w:val="9"/>
        <w:rPr>
          <w:rFonts w:hint="eastAsia" w:ascii="仿宋_GB2312" w:hAnsi="仿宋_GB2312" w:eastAsia="仿宋_GB2312" w:cs="仿宋_GB2312"/>
          <w:snapToGrid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sz w:val="32"/>
          <w:szCs w:val="32"/>
          <w:lang w:eastAsia="zh-CN"/>
        </w:rPr>
        <w:t>惠安县市场监督管理局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120" w:firstLineChars="160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5" w:line="520" w:lineRule="exact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231F20"/>
          <w:spacing w:val="0"/>
          <w:sz w:val="32"/>
          <w:szCs w:val="32"/>
        </w:rPr>
        <w:t>（市场监督管理部门将依法向社会公开行政处罚决定信息）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hint="eastAsia" w:ascii="仿宋_GB2312" w:hAnsi="仿宋_GB2312" w:eastAsia="仿宋_GB2312" w:cs="仿宋_GB2312"/>
        <w:sz w:val="32"/>
        <w:szCs w:val="32"/>
      </w:rPr>
      <w:t>本文书一式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  <w:u w:val="single"/>
        <w:lang w:eastAsia="zh-CN"/>
      </w:rPr>
      <w:t>叁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</w:rPr>
      <w:t>份，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  <w:u w:val="single"/>
        <w:lang w:eastAsia="zh-CN"/>
      </w:rPr>
      <w:t>壹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</w:rPr>
      <w:t>份送达，一份归档，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  <w:u w:val="single"/>
        <w:lang w:eastAsia="zh-CN"/>
      </w:rPr>
      <w:t>壹份备查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 </w:t>
    </w:r>
    <w:r>
      <w:rPr>
        <w:rFonts w:hint="eastAsia" w:ascii="仿宋_GB2312" w:hAnsi="仿宋_GB2312" w:eastAsia="仿宋_GB2312" w:cs="仿宋_GB2312"/>
        <w:sz w:val="32"/>
        <w:szCs w:val="32"/>
      </w:rPr>
      <w:t>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32"/>
        <w:szCs w:val="32"/>
      </w:rPr>
    </w:pPr>
    <w:r>
      <w:rPr>
        <w:rFonts w:hint="eastAsia" w:ascii="仿宋_GB2312" w:hAnsi="仿宋_GB2312" w:eastAsia="仿宋_GB2312" w:cs="仿宋_GB2312"/>
        <w:sz w:val="32"/>
        <w:szCs w:val="32"/>
      </w:rPr>
      <w:t>本文书一式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  <w:u w:val="single"/>
        <w:lang w:eastAsia="zh-CN"/>
      </w:rPr>
      <w:t>叁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</w:rPr>
      <w:t>份，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  <w:u w:val="single"/>
        <w:lang w:eastAsia="zh-CN"/>
      </w:rPr>
      <w:t>壹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</w:rPr>
      <w:t>份送达，一份归档，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  <w:u w:val="single"/>
        <w:lang w:eastAsia="zh-CN"/>
      </w:rPr>
      <w:t>壹份备查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 </w:t>
    </w:r>
    <w:r>
      <w:rPr>
        <w:rFonts w:hint="eastAsia" w:ascii="仿宋_GB2312" w:hAnsi="仿宋_GB2312" w:eastAsia="仿宋_GB2312" w:cs="仿宋_GB2312"/>
        <w:sz w:val="32"/>
        <w:szCs w:val="32"/>
      </w:rPr>
      <w:t>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30210"/>
    <w:rsid w:val="03A87D6C"/>
    <w:rsid w:val="04A87CAA"/>
    <w:rsid w:val="08002CC3"/>
    <w:rsid w:val="0C1E1CD7"/>
    <w:rsid w:val="159768B7"/>
    <w:rsid w:val="18A35176"/>
    <w:rsid w:val="19C575A8"/>
    <w:rsid w:val="1A49232A"/>
    <w:rsid w:val="1A7B64DF"/>
    <w:rsid w:val="1C0D0AF5"/>
    <w:rsid w:val="279D6A9F"/>
    <w:rsid w:val="28381C66"/>
    <w:rsid w:val="2A9C5EA1"/>
    <w:rsid w:val="2C1F1AB3"/>
    <w:rsid w:val="2D200E21"/>
    <w:rsid w:val="2FCD7E95"/>
    <w:rsid w:val="3A686D76"/>
    <w:rsid w:val="4B974ED3"/>
    <w:rsid w:val="4D242ED0"/>
    <w:rsid w:val="51C7526D"/>
    <w:rsid w:val="5C7866A9"/>
    <w:rsid w:val="5E1B3682"/>
    <w:rsid w:val="609D7F54"/>
    <w:rsid w:val="63260AFA"/>
    <w:rsid w:val="688C2AEA"/>
    <w:rsid w:val="698F231F"/>
    <w:rsid w:val="69A32BD3"/>
    <w:rsid w:val="6A4E4D02"/>
    <w:rsid w:val="6B2224A6"/>
    <w:rsid w:val="6CB0250E"/>
    <w:rsid w:val="6EAB1751"/>
    <w:rsid w:val="6F814E25"/>
    <w:rsid w:val="714505E7"/>
    <w:rsid w:val="71D011B6"/>
    <w:rsid w:val="738945AE"/>
    <w:rsid w:val="79443C44"/>
    <w:rsid w:val="796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color w:val="000000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220"/>
    </w:pPr>
    <w:rPr>
      <w:rFonts w:ascii="宋体" w:hAnsi="宋体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evecom</cp:lastModifiedBy>
  <dcterms:modified xsi:type="dcterms:W3CDTF">2022-04-22T06:47:52Z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