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outlineLvl w:val="9"/>
        <w:rPr>
          <w:rFonts w:hint="eastAsia" w:ascii="方正小标宋_GBK" w:hAnsi="方正小标宋_GBK" w:eastAsia="方正小标宋_GBK" w:cs="方正小标宋_GBK"/>
          <w:color w:val="231F20"/>
          <w:sz w:val="44"/>
          <w:szCs w:val="44"/>
          <w:lang w:eastAsia="zh-CN"/>
        </w:rPr>
      </w:pPr>
      <w:r>
        <w:rPr>
          <w:rFonts w:hint="eastAsia" w:ascii="方正小标宋_GBK" w:hAnsi="方正小标宋_GBK" w:eastAsia="方正小标宋_GBK" w:cs="方正小标宋_GBK"/>
          <w:sz w:val="44"/>
          <w:szCs w:val="44"/>
          <w:lang w:eastAsia="zh-CN"/>
        </w:rPr>
        <w:t>惠安县市场监督管理局</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outlineLvl w:val="9"/>
        <w:rPr>
          <w:rFonts w:hint="eastAsia" w:ascii="方正小标宋_GBK" w:hAnsi="方正小标宋_GBK" w:eastAsia="方正小标宋_GBK" w:cs="方正小标宋_GBK"/>
          <w:color w:val="231F20"/>
          <w:sz w:val="44"/>
          <w:szCs w:val="44"/>
          <w:lang w:eastAsia="zh-CN"/>
        </w:rPr>
      </w:pPr>
      <w:r>
        <w:rPr>
          <w:rFonts w:hint="eastAsia" w:ascii="方正小标宋_GBK" w:hAnsi="方正小标宋_GBK" w:eastAsia="方正小标宋_GBK" w:cs="方正小标宋_GBK"/>
          <w:color w:val="231F20"/>
          <w:sz w:val="44"/>
          <w:szCs w:val="44"/>
          <w:lang w:eastAsia="zh-CN"/>
        </w:rPr>
        <w:t>行政处罚决定书</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惠市监罚〔202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305</w:t>
      </w:r>
      <w:r>
        <w:rPr>
          <w:rFonts w:hint="eastAsia" w:ascii="仿宋_GB2312" w:hAnsi="仿宋_GB2312" w:eastAsia="仿宋_GB2312" w:cs="仿宋_GB2312"/>
          <w:spacing w:val="0"/>
          <w:sz w:val="32"/>
          <w:szCs w:val="32"/>
          <w:lang w:eastAsia="zh-CN"/>
        </w:rPr>
        <w:t>号</w:t>
      </w:r>
    </w:p>
    <w:p>
      <w:pPr>
        <w:keepNext w:val="0"/>
        <w:keepLines w:val="0"/>
        <w:pageBreakBefore w:val="0"/>
        <w:widowControl w:val="0"/>
        <w:kinsoku/>
        <w:wordWrap w:val="0"/>
        <w:overflowPunct/>
        <w:topLinePunct/>
        <w:autoSpaceDE/>
        <w:autoSpaceDN w:val="0"/>
        <w:bidi w:val="0"/>
        <w:adjustRightInd w:val="0"/>
        <w:snapToGrid w:val="0"/>
        <w:spacing w:before="157" w:beforeLines="50" w:line="540" w:lineRule="exact"/>
        <w:ind w:left="0" w:right="0" w:firstLine="34"/>
        <w:jc w:val="both"/>
        <w:textAlignment w:val="baseline"/>
        <w:outlineLvl w:val="9"/>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pPr>
      <w:r>
        <w:rPr>
          <w:rFonts w:hint="eastAsia" w:ascii="仿宋" w:hAnsi="仿宋" w:eastAsia="仿宋" w:cs="仿宋"/>
          <w:color w:val="000000" w:themeColor="text1"/>
          <w:spacing w:val="0"/>
          <w:w w:val="100"/>
          <w:sz w:val="32"/>
          <w:szCs w:val="32"/>
          <w:u w:val="none"/>
          <w14:textFill>
            <w14:solidFill>
              <w14:schemeClr w14:val="tx1"/>
            </w14:solidFill>
          </w14:textFill>
        </w:rPr>
        <w:t>当事人：</w:t>
      </w:r>
      <w:r>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t xml:space="preserve">惠安县福尔兴购物店       </w:t>
      </w:r>
    </w:p>
    <w:p>
      <w:pPr>
        <w:keepNext w:val="0"/>
        <w:keepLines w:val="0"/>
        <w:pageBreakBefore w:val="0"/>
        <w:widowControl w:val="0"/>
        <w:kinsoku/>
        <w:wordWrap w:val="0"/>
        <w:overflowPunct/>
        <w:topLinePunct/>
        <w:autoSpaceDE/>
        <w:autoSpaceDN w:val="0"/>
        <w:bidi w:val="0"/>
        <w:adjustRightInd w:val="0"/>
        <w:snapToGrid w:val="0"/>
        <w:spacing w:line="540" w:lineRule="exact"/>
        <w:ind w:left="0" w:right="0" w:firstLine="34"/>
        <w:jc w:val="both"/>
        <w:textAlignment w:val="baseline"/>
        <w:outlineLvl w:val="9"/>
        <w:rPr>
          <w:rFonts w:hint="eastAsia" w:ascii="仿宋" w:hAnsi="仿宋" w:eastAsia="仿宋" w:cs="仿宋"/>
          <w:color w:val="000000" w:themeColor="text1"/>
          <w:spacing w:val="0"/>
          <w:w w:val="100"/>
          <w:sz w:val="32"/>
          <w:szCs w:val="32"/>
          <w:u w:val="none"/>
          <w14:textFill>
            <w14:solidFill>
              <w14:schemeClr w14:val="tx1"/>
            </w14:solidFill>
          </w14:textFill>
        </w:rPr>
      </w:pPr>
      <w:r>
        <w:rPr>
          <w:rFonts w:hint="eastAsia" w:ascii="仿宋" w:hAnsi="仿宋" w:eastAsia="仿宋" w:cs="仿宋"/>
          <w:color w:val="000000" w:themeColor="text1"/>
          <w:spacing w:val="0"/>
          <w:w w:val="100"/>
          <w:sz w:val="32"/>
          <w:szCs w:val="32"/>
          <w:u w:val="none"/>
          <w14:textFill>
            <w14:solidFill>
              <w14:schemeClr w14:val="tx1"/>
            </w14:solidFill>
          </w14:textFill>
        </w:rPr>
        <w:t>主体资格证照名称：</w:t>
      </w: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营业执照</w:t>
      </w:r>
      <w:r>
        <w:rPr>
          <w:rFonts w:hint="eastAsia" w:ascii="仿宋" w:hAnsi="仿宋" w:eastAsia="仿宋" w:cs="仿宋"/>
          <w:color w:val="000000" w:themeColor="text1"/>
          <w:spacing w:val="0"/>
          <w:w w:val="100"/>
          <w:sz w:val="32"/>
          <w:szCs w:val="32"/>
          <w:u w:val="none"/>
          <w14:textFill>
            <w14:solidFill>
              <w14:schemeClr w14:val="tx1"/>
            </w14:solidFill>
          </w14:textFill>
        </w:rPr>
        <w:t xml:space="preserve">               </w:t>
      </w:r>
    </w:p>
    <w:p>
      <w:pPr>
        <w:keepNext w:val="0"/>
        <w:keepLines w:val="0"/>
        <w:pageBreakBefore w:val="0"/>
        <w:widowControl w:val="0"/>
        <w:kinsoku/>
        <w:wordWrap w:val="0"/>
        <w:overflowPunct/>
        <w:topLinePunct/>
        <w:autoSpaceDE/>
        <w:autoSpaceDN w:val="0"/>
        <w:bidi w:val="0"/>
        <w:adjustRightInd w:val="0"/>
        <w:snapToGrid w:val="0"/>
        <w:spacing w:line="540" w:lineRule="exact"/>
        <w:ind w:left="0" w:right="0" w:firstLine="34"/>
        <w:jc w:val="both"/>
        <w:textAlignment w:val="baseline"/>
        <w:outlineLvl w:val="9"/>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统一社会信用代码：92350521MA2Y3XWH0N</w:t>
      </w:r>
      <w:r>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autoSpaceDE/>
        <w:autoSpaceDN w:val="0"/>
        <w:bidi w:val="0"/>
        <w:adjustRightInd w:val="0"/>
        <w:snapToGrid w:val="0"/>
        <w:spacing w:line="540" w:lineRule="exact"/>
        <w:ind w:left="0" w:right="0" w:firstLine="34"/>
        <w:jc w:val="both"/>
        <w:textAlignment w:val="baseline"/>
        <w:outlineLvl w:val="9"/>
        <w:rPr>
          <w:rFonts w:hint="eastAsia" w:ascii="仿宋" w:hAnsi="仿宋" w:eastAsia="仿宋" w:cs="仿宋"/>
          <w:color w:val="000000" w:themeColor="text1"/>
          <w:spacing w:val="0"/>
          <w:w w:val="100"/>
          <w:sz w:val="32"/>
          <w:szCs w:val="32"/>
          <w:u w:val="none"/>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经营场所：福建省泉州市惠安县小岞镇前峰村前内街179-1-014至179-1-022号</w:t>
      </w:r>
    </w:p>
    <w:p>
      <w:pPr>
        <w:keepNext w:val="0"/>
        <w:keepLines w:val="0"/>
        <w:pageBreakBefore w:val="0"/>
        <w:widowControl w:val="0"/>
        <w:kinsoku/>
        <w:wordWrap w:val="0"/>
        <w:overflowPunct/>
        <w:topLinePunct/>
        <w:autoSpaceDE/>
        <w:autoSpaceDN w:val="0"/>
        <w:bidi w:val="0"/>
        <w:adjustRightInd w:val="0"/>
        <w:snapToGrid w:val="0"/>
        <w:spacing w:line="540" w:lineRule="exact"/>
        <w:ind w:left="0" w:right="0" w:firstLine="34"/>
        <w:jc w:val="both"/>
        <w:textAlignment w:val="baseline"/>
        <w:outlineLvl w:val="9"/>
        <w:rPr>
          <w:rFonts w:hint="eastAsia" w:ascii="仿宋" w:hAnsi="仿宋" w:eastAsia="仿宋" w:cs="仿宋"/>
          <w:color w:val="000000" w:themeColor="text1"/>
          <w:spacing w:val="0"/>
          <w:w w:val="100"/>
          <w:sz w:val="32"/>
          <w:szCs w:val="32"/>
          <w:u w:val="none"/>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经营者：陈致旺</w:t>
      </w:r>
      <w:r>
        <w:rPr>
          <w:rFonts w:hint="eastAsia" w:ascii="仿宋" w:hAnsi="仿宋" w:eastAsia="仿宋" w:cs="仿宋"/>
          <w:color w:val="000000" w:themeColor="text1"/>
          <w:spacing w:val="0"/>
          <w:w w:val="100"/>
          <w:sz w:val="32"/>
          <w:szCs w:val="32"/>
          <w:u w:val="none"/>
          <w14:textFill>
            <w14:solidFill>
              <w14:schemeClr w14:val="tx1"/>
            </w14:solidFill>
          </w14:textFill>
        </w:rPr>
        <w:t xml:space="preserve">              </w:t>
      </w:r>
      <w:r>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t xml:space="preserve">         </w:t>
      </w:r>
      <w:r>
        <w:rPr>
          <w:rFonts w:hint="eastAsia" w:ascii="仿宋" w:hAnsi="仿宋" w:eastAsia="仿宋" w:cs="仿宋"/>
          <w:color w:val="000000" w:themeColor="text1"/>
          <w:spacing w:val="0"/>
          <w:w w:val="100"/>
          <w:sz w:val="32"/>
          <w:szCs w:val="32"/>
          <w:u w:val="none"/>
          <w14:textFill>
            <w14:solidFill>
              <w14:schemeClr w14:val="tx1"/>
            </w14:solidFill>
          </w14:textFill>
        </w:rPr>
        <w:t xml:space="preserve">  </w:t>
      </w:r>
      <w:bookmarkStart w:id="0" w:name="_GoBack"/>
      <w:bookmarkEnd w:id="0"/>
      <w:r>
        <w:rPr>
          <w:rFonts w:hint="eastAsia" w:ascii="仿宋" w:hAnsi="仿宋" w:eastAsia="仿宋" w:cs="仿宋"/>
          <w:color w:val="000000" w:themeColor="text1"/>
          <w:spacing w:val="0"/>
          <w:w w:val="100"/>
          <w:sz w:val="32"/>
          <w:szCs w:val="32"/>
          <w:u w:val="none"/>
          <w14:textFill>
            <w14:solidFill>
              <w14:schemeClr w14:val="tx1"/>
            </w14:solidFill>
          </w14:textFill>
        </w:rPr>
        <w:t xml:space="preserve">   </w:t>
      </w:r>
      <w:r>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t xml:space="preserve">   </w:t>
      </w:r>
      <w:r>
        <w:rPr>
          <w:rFonts w:hint="eastAsia" w:ascii="仿宋" w:hAnsi="仿宋" w:eastAsia="仿宋" w:cs="仿宋"/>
          <w:color w:val="000000" w:themeColor="text1"/>
          <w:spacing w:val="0"/>
          <w:w w:val="100"/>
          <w:sz w:val="32"/>
          <w:szCs w:val="32"/>
          <w:u w:val="none"/>
          <w14:textFill>
            <w14:solidFill>
              <w14:schemeClr w14:val="tx1"/>
            </w14:solidFill>
          </w14:textFill>
        </w:rPr>
        <w:t xml:space="preserve">  </w:t>
      </w:r>
    </w:p>
    <w:p>
      <w:pPr>
        <w:keepNext w:val="0"/>
        <w:keepLines w:val="0"/>
        <w:pageBreakBefore w:val="0"/>
        <w:widowControl w:val="0"/>
        <w:kinsoku/>
        <w:wordWrap w:val="0"/>
        <w:overflowPunct/>
        <w:topLinePunct/>
        <w:autoSpaceDE/>
        <w:autoSpaceDN w:val="0"/>
        <w:bidi w:val="0"/>
        <w:adjustRightInd w:val="0"/>
        <w:snapToGrid w:val="0"/>
        <w:spacing w:line="540" w:lineRule="exact"/>
        <w:ind w:left="0" w:right="0" w:firstLine="34"/>
        <w:jc w:val="both"/>
        <w:textAlignment w:val="baseline"/>
        <w:outlineLvl w:val="9"/>
        <w:rPr>
          <w:rFonts w:hint="eastAsia" w:ascii="仿宋" w:hAnsi="仿宋" w:eastAsia="仿宋" w:cs="仿宋"/>
          <w:color w:val="000000" w:themeColor="text1"/>
          <w:spacing w:val="0"/>
          <w:w w:val="100"/>
          <w:sz w:val="32"/>
          <w:szCs w:val="32"/>
          <w:u w:val="none"/>
          <w14:textFill>
            <w14:solidFill>
              <w14:schemeClr w14:val="tx1"/>
            </w14:solidFill>
          </w14:textFill>
        </w:rPr>
      </w:pPr>
      <w:r>
        <w:rPr>
          <w:rFonts w:hint="eastAsia" w:ascii="仿宋" w:hAnsi="仿宋" w:eastAsia="仿宋" w:cs="仿宋"/>
          <w:color w:val="000000" w:themeColor="text1"/>
          <w:spacing w:val="0"/>
          <w:w w:val="100"/>
          <w:sz w:val="32"/>
          <w:szCs w:val="32"/>
          <w:u w:val="none"/>
          <w14:textFill>
            <w14:solidFill>
              <w14:schemeClr w14:val="tx1"/>
            </w14:solidFill>
          </w14:textFill>
        </w:rPr>
        <w:t>身份证号码：</w:t>
      </w:r>
      <w:r>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t>***</w:t>
      </w:r>
      <w:r>
        <w:rPr>
          <w:rFonts w:hint="eastAsia" w:ascii="仿宋" w:hAnsi="仿宋" w:eastAsia="仿宋" w:cs="仿宋"/>
          <w:color w:val="000000" w:themeColor="text1"/>
          <w:spacing w:val="0"/>
          <w:w w:val="100"/>
          <w:sz w:val="32"/>
          <w:szCs w:val="32"/>
          <w:u w:val="none"/>
          <w14:textFill>
            <w14:solidFill>
              <w14:schemeClr w14:val="tx1"/>
            </w14:solidFill>
          </w14:textFill>
        </w:rPr>
        <w:t xml:space="preserve">             </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single"/>
          <w:lang w:val="en-US"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t xml:space="preserve">2023年7月20日下午，本局执法人员根据全国12315投诉单到当事人开设于惠安县小岞镇前峰村前内街179-1-014至179-1-022号的惠安县福尔兴购物店进行检查。现场检查发现当事人货架上摆放有泉州得民食品有限公司生产的怪味梅等11种蜜饯，共30瓶。经初步核查，上述食品涉嫌为食品生产单位在食品生产许可证超过有效期限后生产的食品，本局于2023年7月21日以当事人涉嫌采购食品生产单位在食品生产许可证超过有效期限生产的食品用于经营案为由立案调查。执法人员通过现场检查、对当事人进行询问、向泉州台商投资区管理委员会市场监督管理局协助调查等方式查明当事人违法事实。           </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经查，当事人于2023年1月中旬从一个上门的业务员手中购进得民®怪味梅（净含量：365g，生产日期：2023/01/07）5瓶、得民®咸杨梅（净含量：350g，生产日期：2022/12/18）5瓶、得民®金丝蜜枣（净含量：350g，生产日期：2022/12/18）6瓶、得民®咸李饼（净含量：325g，生产日期：2022/12/18）6瓶、得民®盐津榄（橄榄）（净含量：360g，生产日期：2023/01/02）6瓶、得民®化核榄（净含量：295g，生产日期：2023/01/07）6瓶、得民®食品/梅一健®甘草榄（净含量：220g，生产日期：2023/01/09）6瓶、得民®食品/梅一健®盐津榄条（净含量：170g，生产日期：2023/01/02）4瓶、得民®食品/梅一健®润喉金桔（净含量：220g，生产日期：2023/01/02）6瓶、得民®食品/梅一健®九制陈皮（净含量：140g，生产日期：2022/12/18）6瓶、得民®食品/梅一健®樱桃味李果净含量：240g，生产日期：2023/01/09）7瓶。上述食品的生产日期均在标示生产企业泉州得民食品有限公司食品生产许可证（有效期限至2022年9月27日）有效期届满之后。当事人购进上述食品时，未查验供货者的许可证证件、食品出厂检验合格证或者其他合格证明，未留存进货凭证。</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截止案发时，当事人经营的上述食品具体销售情况如下：以15.8元/瓶售出怪味梅2瓶、咸杨梅2瓶、金丝蜜枣5瓶、咸李饼1瓶、盐津榄（橄榄）3瓶、化核榄1瓶；以9.8元/瓶售出甘草榄4瓶、盐津榄条3瓶、润喉金桔3瓶、九制陈皮3瓶、樱桃味李果6瓶。当事人经营上述食品的货值金额821.4元，违法所得407.4元。</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14:textFill>
            <w14:solidFill>
              <w14:schemeClr w14:val="tx1"/>
            </w14:solidFill>
          </w14:textFill>
        </w:rPr>
      </w:pPr>
      <w:r>
        <w:rPr>
          <w:rFonts w:hint="eastAsia" w:ascii="仿宋" w:hAnsi="仿宋" w:eastAsia="仿宋" w:cs="仿宋"/>
          <w:color w:val="000000" w:themeColor="text1"/>
          <w:spacing w:val="0"/>
          <w:w w:val="100"/>
          <w:sz w:val="32"/>
          <w:szCs w:val="32"/>
          <w14:textFill>
            <w14:solidFill>
              <w14:schemeClr w14:val="tx1"/>
            </w14:solidFill>
          </w14:textFill>
        </w:rPr>
        <w:t>上述事实，主要有以下证据证明：</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t>当事人营业执照、当事人食品经营许可证、当事人经营者身份证、现场笔录、现场检查情况照片、涉案物品照片、授权委托书、被询问人身份证、询问笔录、福建省市场监督管理局（知识产权局）官网网页打印件、国家企业信用信息公示系统网页打印件、泉州台商投资区管理委员会市场监督管理局关于回复协助调查情况的函。</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2023年</w:t>
      </w:r>
      <w:r>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t>9</w:t>
      </w: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月</w:t>
      </w:r>
      <w:r>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t>20</w:t>
      </w: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日，本局向当事人送达了《行政处罚告知书》（惠市监（小岞）罚告〔2023〕</w:t>
      </w:r>
      <w:r>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t>7</w:t>
      </w: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 xml:space="preserve">号），当事人在法定期限内未提出陈述、申辩意见。 </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本局认为，当事人购进涉案食品时未查验供货者的许可证、食品出厂检验合格证或者其他合格证明，未留存进货票据，违反了《中华人民共和国食品安全法》第五十三条第一款的规定，构成食品经营者未履行进货查验义务的违法行为。</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当事人购进用于经营的涉案食品生产日期均在标识的食品生产企业食品生产许可证有效期届满后，违反了《福建省食品安全条例》第十七条规定，构成食品经营单位采购食品生产单位在食品生产许可证超过有效期限生产的食品用于经营的违法行为。</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鉴于当事人在案发后积极配合调查，如实陈述违法事实并主动提供证据，予以从轻处罚。</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综上，依据《中华人民共和国行政处罚法》第三十三条第二款、《中华人民共和国食品安全法》第一百二十六条第一款第三项和《福建省食品安全条例》第九十七条的规定，现责令当事人改正上述违法行为，决定处罚如下：</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1.警告；</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2.罚款5000元；</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3.没收违法所得407.4元，没收在扣的怪味梅3瓶、咸杨梅3瓶、金丝蜜枣1瓶、咸李饼5瓶、盐津榄（橄榄）3瓶、化核榄5瓶、甘草榄2瓶、盐津榄条1瓶、润喉金桔3瓶、九制陈皮3瓶、樱桃味李果1瓶。</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合计罚没款</w:t>
      </w:r>
      <w:r>
        <w:rPr>
          <w:rFonts w:hint="eastAsia" w:ascii="仿宋" w:hAnsi="仿宋" w:eastAsia="仿宋" w:cs="仿宋"/>
          <w:color w:val="000000" w:themeColor="text1"/>
          <w:spacing w:val="0"/>
          <w:w w:val="100"/>
          <w:sz w:val="32"/>
          <w:szCs w:val="32"/>
          <w:u w:val="none"/>
          <w:lang w:val="en-US" w:eastAsia="zh-CN"/>
          <w14:textFill>
            <w14:solidFill>
              <w14:schemeClr w14:val="tx1"/>
            </w14:solidFill>
          </w14:textFill>
        </w:rPr>
        <w:t>5407.4元。</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所处罚款，当事人应当在接到本行政处罚决定书之日起十五日内（末日为节假日顺延），到本局小岞镇市场监督管理所开具缴款书并到银行缴纳罚款。根据《中华人民共和国行政处罚法》第七十二条第一款第一项、《中华人民共和国行政强制法》第四十五条、第五十三条的规定，逾期不缴纳罚款的，应自缴纳期限届满次日起每日按罚款数额的百分之三加处罚款。</w:t>
      </w:r>
    </w:p>
    <w:p>
      <w:pPr>
        <w:keepNext w:val="0"/>
        <w:keepLines w:val="0"/>
        <w:pageBreakBefore w:val="0"/>
        <w:widowControl w:val="0"/>
        <w:kinsoku/>
        <w:wordWrap w:val="0"/>
        <w:overflowPunct/>
        <w:topLinePunct/>
        <w:autoSpaceDE/>
        <w:autoSpaceDN w:val="0"/>
        <w:bidi w:val="0"/>
        <w:adjustRightInd w:val="0"/>
        <w:snapToGrid w:val="0"/>
        <w:spacing w:line="540" w:lineRule="exact"/>
        <w:ind w:firstLine="640" w:firstLineChars="200"/>
        <w:jc w:val="both"/>
        <w:textAlignment w:val="baseline"/>
        <w:outlineLvl w:val="9"/>
        <w:rPr>
          <w:rFonts w:hint="eastAsia" w:ascii="仿宋" w:hAnsi="仿宋" w:eastAsia="仿宋" w:cs="仿宋"/>
          <w:color w:val="000000" w:themeColor="text1"/>
          <w:spacing w:val="0"/>
          <w:w w:val="100"/>
          <w:sz w:val="32"/>
          <w:szCs w:val="32"/>
          <w:u w:val="none"/>
          <w:lang w:eastAsia="zh-CN"/>
          <w14:textFill>
            <w14:solidFill>
              <w14:schemeClr w14:val="tx1"/>
            </w14:solidFill>
          </w14:textFill>
        </w:rPr>
      </w:pPr>
      <w:r>
        <w:rPr>
          <w:rFonts w:hint="eastAsia" w:ascii="仿宋" w:hAnsi="仿宋" w:eastAsia="仿宋" w:cs="仿宋"/>
          <w:color w:val="000000" w:themeColor="text1"/>
          <w:spacing w:val="0"/>
          <w:w w:val="100"/>
          <w:sz w:val="32"/>
          <w:szCs w:val="32"/>
          <w:u w:val="none"/>
          <w:lang w:eastAsia="zh-CN"/>
          <w14:textFill>
            <w14:solidFill>
              <w14:schemeClr w14:val="tx1"/>
            </w14:solidFill>
          </w14:textFill>
        </w:rPr>
        <w:t>如对本行政处罚决定不服，可于收到本决定书之日起六十日内向惠安县人民政府申请复议，也可以于六个月内依法向有管辖权的人民法院提起行政诉讼。前述期间，本行政处罚不停止执行。</w:t>
      </w:r>
    </w:p>
    <w:p>
      <w:pPr>
        <w:pStyle w:val="2"/>
        <w:keepNext w:val="0"/>
        <w:keepLines w:val="0"/>
        <w:pageBreakBefore w:val="0"/>
        <w:widowControl w:val="0"/>
        <w:tabs>
          <w:tab w:val="left" w:pos="8270"/>
        </w:tabs>
        <w:kinsoku/>
        <w:wordWrap w:val="0"/>
        <w:overflowPunct/>
        <w:topLinePunct/>
        <w:autoSpaceDE/>
        <w:autoSpaceDN w:val="0"/>
        <w:bidi w:val="0"/>
        <w:adjustRightInd w:val="0"/>
        <w:snapToGrid w:val="0"/>
        <w:spacing w:line="540" w:lineRule="exact"/>
        <w:ind w:left="0" w:firstLine="611" w:firstLineChars="191"/>
        <w:jc w:val="both"/>
        <w:textAlignment w:val="baseline"/>
        <w:outlineLvl w:val="9"/>
        <w:rPr>
          <w:rFonts w:hint="eastAsia" w:ascii="仿宋" w:hAnsi="仿宋" w:eastAsia="仿宋" w:cs="仿宋"/>
          <w:color w:val="000000" w:themeColor="text1"/>
          <w:spacing w:val="0"/>
          <w:w w:val="100"/>
          <w:sz w:val="32"/>
          <w:szCs w:val="32"/>
          <w:lang w:eastAsia="zh-CN" w:bidi="ar-SA"/>
          <w14:textFill>
            <w14:solidFill>
              <w14:schemeClr w14:val="tx1"/>
            </w14:solidFill>
          </w14:textFill>
        </w:rPr>
      </w:pPr>
    </w:p>
    <w:p>
      <w:pPr>
        <w:pStyle w:val="2"/>
        <w:keepNext w:val="0"/>
        <w:keepLines w:val="0"/>
        <w:pageBreakBefore w:val="0"/>
        <w:widowControl w:val="0"/>
        <w:tabs>
          <w:tab w:val="left" w:pos="8270"/>
        </w:tabs>
        <w:kinsoku/>
        <w:wordWrap w:val="0"/>
        <w:overflowPunct/>
        <w:topLinePunct/>
        <w:autoSpaceDE/>
        <w:autoSpaceDN w:val="0"/>
        <w:bidi w:val="0"/>
        <w:adjustRightInd w:val="0"/>
        <w:snapToGrid w:val="0"/>
        <w:spacing w:line="540" w:lineRule="exact"/>
        <w:ind w:left="0" w:firstLine="611" w:firstLineChars="191"/>
        <w:jc w:val="both"/>
        <w:textAlignment w:val="baseline"/>
        <w:outlineLvl w:val="9"/>
        <w:rPr>
          <w:rFonts w:hint="eastAsia" w:ascii="仿宋" w:hAnsi="仿宋" w:eastAsia="仿宋" w:cs="仿宋"/>
          <w:color w:val="000000" w:themeColor="text1"/>
          <w:spacing w:val="0"/>
          <w:w w:val="100"/>
          <w:sz w:val="32"/>
          <w:szCs w:val="32"/>
          <w:lang w:eastAsia="zh-CN" w:bidi="ar-SA"/>
          <w14:textFill>
            <w14:solidFill>
              <w14:schemeClr w14:val="tx1"/>
            </w14:solidFill>
          </w14:textFill>
        </w:rPr>
      </w:pPr>
    </w:p>
    <w:p>
      <w:pPr>
        <w:keepNext w:val="0"/>
        <w:keepLines w:val="0"/>
        <w:pageBreakBefore w:val="0"/>
        <w:widowControl w:val="0"/>
        <w:kinsoku/>
        <w:wordWrap w:val="0"/>
        <w:overflowPunct/>
        <w:topLinePunct/>
        <w:autoSpaceDE/>
        <w:autoSpaceDN w:val="0"/>
        <w:bidi w:val="0"/>
        <w:adjustRightInd w:val="0"/>
        <w:snapToGrid w:val="0"/>
        <w:spacing w:line="540" w:lineRule="exact"/>
        <w:ind w:firstLine="4480" w:firstLineChars="1400"/>
        <w:jc w:val="both"/>
        <w:textAlignment w:val="baseline"/>
        <w:outlineLvl w:val="9"/>
        <w:rPr>
          <w:rFonts w:hint="eastAsia" w:ascii="仿宋" w:hAnsi="仿宋" w:eastAsia="仿宋" w:cs="仿宋"/>
          <w:snapToGrid w:val="0"/>
          <w:color w:val="000000" w:themeColor="text1"/>
          <w:spacing w:val="0"/>
          <w:w w:val="100"/>
          <w:sz w:val="32"/>
          <w:szCs w:val="32"/>
          <w:lang w:val="en-US" w:eastAsia="zh-CN"/>
          <w14:textFill>
            <w14:solidFill>
              <w14:schemeClr w14:val="tx1"/>
            </w14:solidFill>
          </w14:textFill>
        </w:rPr>
      </w:pPr>
      <w:r>
        <w:rPr>
          <w:rFonts w:hint="eastAsia" w:ascii="仿宋" w:hAnsi="仿宋" w:eastAsia="仿宋" w:cs="仿宋"/>
          <w:snapToGrid w:val="0"/>
          <w:color w:val="000000" w:themeColor="text1"/>
          <w:spacing w:val="0"/>
          <w:w w:val="100"/>
          <w:sz w:val="32"/>
          <w:szCs w:val="32"/>
          <w:lang w:eastAsia="zh-CN"/>
          <w14:textFill>
            <w14:solidFill>
              <w14:schemeClr w14:val="tx1"/>
            </w14:solidFill>
          </w14:textFill>
        </w:rPr>
        <w:t>惠安县市场监督管理局</w:t>
      </w:r>
      <w:r>
        <w:rPr>
          <w:rFonts w:hint="eastAsia" w:ascii="仿宋" w:hAnsi="仿宋" w:eastAsia="仿宋" w:cs="仿宋"/>
          <w:snapToGrid w:val="0"/>
          <w:color w:val="000000" w:themeColor="text1"/>
          <w:spacing w:val="0"/>
          <w:w w:val="100"/>
          <w:sz w:val="32"/>
          <w:szCs w:val="32"/>
          <w:lang w:val="en-US" w:eastAsia="zh-CN"/>
          <w14:textFill>
            <w14:solidFill>
              <w14:schemeClr w14:val="tx1"/>
            </w14:solidFill>
          </w14:textFill>
        </w:rPr>
        <w:t xml:space="preserve">   </w:t>
      </w:r>
    </w:p>
    <w:p>
      <w:pPr>
        <w:keepNext w:val="0"/>
        <w:keepLines w:val="0"/>
        <w:pageBreakBefore w:val="0"/>
        <w:widowControl w:val="0"/>
        <w:kinsoku/>
        <w:wordWrap w:val="0"/>
        <w:overflowPunct/>
        <w:topLinePunct/>
        <w:autoSpaceDE/>
        <w:autoSpaceDN w:val="0"/>
        <w:bidi w:val="0"/>
        <w:adjustRightInd w:val="0"/>
        <w:snapToGrid w:val="0"/>
        <w:spacing w:line="540" w:lineRule="exact"/>
        <w:ind w:firstLine="5120" w:firstLineChars="1600"/>
        <w:jc w:val="both"/>
        <w:textAlignment w:val="baseline"/>
        <w:outlineLvl w:val="9"/>
        <w:rPr>
          <w:rFonts w:hint="eastAsia" w:ascii="仿宋" w:hAnsi="仿宋" w:eastAsia="仿宋" w:cs="仿宋"/>
          <w:color w:val="000000" w:themeColor="text1"/>
          <w:spacing w:val="0"/>
          <w:w w:val="100"/>
          <w:sz w:val="32"/>
          <w:szCs w:val="32"/>
          <w14:textFill>
            <w14:solidFill>
              <w14:schemeClr w14:val="tx1"/>
            </w14:solidFill>
          </w14:textFill>
        </w:rPr>
      </w:pPr>
      <w:r>
        <w:rPr>
          <w:rFonts w:hint="eastAsia" w:ascii="仿宋" w:hAnsi="仿宋" w:eastAsia="仿宋" w:cs="仿宋"/>
          <w:snapToGrid w:val="0"/>
          <w:color w:val="000000" w:themeColor="text1"/>
          <w:spacing w:val="0"/>
          <w:w w:val="100"/>
          <w:sz w:val="32"/>
          <w:szCs w:val="32"/>
          <w:lang w:val="en-US" w:eastAsia="zh-CN"/>
          <w14:textFill>
            <w14:solidFill>
              <w14:schemeClr w14:val="tx1"/>
            </w14:solidFill>
          </w14:textFill>
        </w:rPr>
        <w:t>2023年9月28日</w:t>
      </w:r>
    </w:p>
    <w:p>
      <w:pPr>
        <w:keepNext w:val="0"/>
        <w:keepLines w:val="0"/>
        <w:pageBreakBefore w:val="0"/>
        <w:widowControl w:val="0"/>
        <w:kinsoku/>
        <w:wordWrap w:val="0"/>
        <w:overflowPunct/>
        <w:topLinePunct/>
        <w:autoSpaceDE/>
        <w:autoSpaceDN w:val="0"/>
        <w:bidi w:val="0"/>
        <w:adjustRightInd w:val="0"/>
        <w:snapToGrid w:val="0"/>
        <w:spacing w:line="530" w:lineRule="exact"/>
        <w:jc w:val="both"/>
        <w:textAlignment w:val="baseline"/>
        <w:outlineLvl w:val="9"/>
        <w:rPr>
          <w:rFonts w:hint="eastAsia" w:ascii="仿宋" w:hAnsi="仿宋" w:eastAsia="仿宋" w:cs="仿宋"/>
          <w:color w:val="000000" w:themeColor="text1"/>
          <w:spacing w:val="0"/>
          <w:w w:val="100"/>
          <w:sz w:val="32"/>
          <w:szCs w:val="32"/>
          <w14:textFill>
            <w14:solidFill>
              <w14:schemeClr w14:val="tx1"/>
            </w14:solidFill>
          </w14:textFill>
        </w:rPr>
      </w:pPr>
    </w:p>
    <w:p>
      <w:pPr>
        <w:keepNext w:val="0"/>
        <w:keepLines w:val="0"/>
        <w:pageBreakBefore w:val="0"/>
        <w:widowControl w:val="0"/>
        <w:kinsoku/>
        <w:wordWrap w:val="0"/>
        <w:overflowPunct/>
        <w:topLinePunct/>
        <w:autoSpaceDE/>
        <w:autoSpaceDN w:val="0"/>
        <w:bidi w:val="0"/>
        <w:adjustRightInd w:val="0"/>
        <w:snapToGrid w:val="0"/>
        <w:spacing w:line="530" w:lineRule="exact"/>
        <w:jc w:val="both"/>
        <w:textAlignment w:val="baseline"/>
        <w:outlineLvl w:val="9"/>
        <w:rPr>
          <w:rFonts w:hint="eastAsia" w:ascii="仿宋" w:hAnsi="仿宋" w:eastAsia="仿宋" w:cs="仿宋"/>
          <w:color w:val="000000" w:themeColor="text1"/>
          <w:spacing w:val="0"/>
          <w:w w:val="100"/>
          <w:sz w:val="32"/>
          <w:szCs w:val="32"/>
          <w14:textFill>
            <w14:solidFill>
              <w14:schemeClr w14:val="tx1"/>
            </w14:solidFill>
          </w14:textFill>
        </w:rPr>
      </w:pPr>
    </w:p>
    <w:p>
      <w:pPr>
        <w:keepNext w:val="0"/>
        <w:keepLines w:val="0"/>
        <w:pageBreakBefore w:val="0"/>
        <w:widowControl w:val="0"/>
        <w:kinsoku/>
        <w:wordWrap w:val="0"/>
        <w:overflowPunct/>
        <w:topLinePunct/>
        <w:autoSpaceDE/>
        <w:autoSpaceDN w:val="0"/>
        <w:bidi w:val="0"/>
        <w:adjustRightInd w:val="0"/>
        <w:snapToGrid w:val="0"/>
        <w:spacing w:line="530" w:lineRule="exact"/>
        <w:jc w:val="both"/>
        <w:textAlignment w:val="baseline"/>
        <w:outlineLvl w:val="9"/>
        <w:rPr>
          <w:rFonts w:hint="eastAsia" w:ascii="仿宋" w:hAnsi="仿宋" w:eastAsia="仿宋" w:cs="仿宋"/>
          <w:color w:val="000000" w:themeColor="text1"/>
          <w:spacing w:val="0"/>
          <w:w w:val="100"/>
          <w:sz w:val="32"/>
          <w:szCs w:val="32"/>
          <w14:textFill>
            <w14:solidFill>
              <w14:schemeClr w14:val="tx1"/>
            </w14:solidFill>
          </w14:textFill>
        </w:rPr>
      </w:pPr>
    </w:p>
    <w:p>
      <w:pPr>
        <w:keepNext w:val="0"/>
        <w:keepLines w:val="0"/>
        <w:pageBreakBefore w:val="0"/>
        <w:widowControl w:val="0"/>
        <w:kinsoku/>
        <w:wordWrap w:val="0"/>
        <w:overflowPunct/>
        <w:topLinePunct/>
        <w:autoSpaceDE/>
        <w:autoSpaceDN w:val="0"/>
        <w:bidi w:val="0"/>
        <w:adjustRightInd w:val="0"/>
        <w:snapToGrid w:val="0"/>
        <w:spacing w:line="530" w:lineRule="exact"/>
        <w:jc w:val="both"/>
        <w:textAlignment w:val="baseline"/>
        <w:outlineLvl w:val="9"/>
        <w:rPr>
          <w:rFonts w:hint="eastAsia" w:ascii="仿宋" w:hAnsi="仿宋" w:eastAsia="仿宋" w:cs="仿宋"/>
          <w:color w:val="000000" w:themeColor="text1"/>
          <w:spacing w:val="0"/>
          <w:w w:val="100"/>
          <w:sz w:val="32"/>
          <w:szCs w:val="32"/>
          <w14:textFill>
            <w14:solidFill>
              <w14:schemeClr w14:val="tx1"/>
            </w14:solidFill>
          </w14:textFill>
        </w:rPr>
      </w:pPr>
    </w:p>
    <w:p>
      <w:pPr>
        <w:keepNext w:val="0"/>
        <w:keepLines w:val="0"/>
        <w:pageBreakBefore w:val="0"/>
        <w:widowControl w:val="0"/>
        <w:kinsoku/>
        <w:wordWrap w:val="0"/>
        <w:overflowPunct/>
        <w:topLinePunct/>
        <w:autoSpaceDE/>
        <w:autoSpaceDN w:val="0"/>
        <w:bidi w:val="0"/>
        <w:adjustRightInd w:val="0"/>
        <w:snapToGrid w:val="0"/>
        <w:spacing w:line="530" w:lineRule="exact"/>
        <w:jc w:val="both"/>
        <w:textAlignment w:val="baseline"/>
        <w:outlineLvl w:val="9"/>
        <w:rPr>
          <w:rFonts w:hint="eastAsia" w:ascii="仿宋_GB2312" w:hAnsi="仿宋_GB2312" w:eastAsia="仿宋_GB2312" w:cs="仿宋_GB2312"/>
          <w:color w:val="000000" w:themeColor="text1"/>
          <w:spacing w:val="0"/>
          <w:sz w:val="32"/>
          <w:szCs w:val="32"/>
          <w:u w:val="single"/>
          <w:lang w:val="en-US" w:eastAsia="zh-CN"/>
          <w14:textFill>
            <w14:solidFill>
              <w14:schemeClr w14:val="tx1"/>
            </w14:solidFill>
          </w14:textFill>
        </w:rPr>
      </w:pPr>
      <w:r>
        <w:rPr>
          <w:rFonts w:hint="eastAsia" w:ascii="仿宋" w:hAnsi="仿宋" w:eastAsia="仿宋" w:cs="仿宋"/>
          <w:b/>
          <w:bCs/>
          <w:color w:val="000000" w:themeColor="text1"/>
          <w:spacing w:val="0"/>
          <w:w w:val="100"/>
          <w:sz w:val="32"/>
          <w:szCs w:val="32"/>
          <w14:textFill>
            <w14:solidFill>
              <w14:schemeClr w14:val="tx1"/>
            </w14:solidFill>
          </w14:textFill>
        </w:rPr>
        <w:t>（市场监督管理部门将依法向社会公开行政处罚决定信息）</w:t>
      </w:r>
    </w:p>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2" w:line="197" w:lineRule="exact"/>
      <w:ind w:firstLine="16"/>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0210"/>
    <w:rsid w:val="02EF3886"/>
    <w:rsid w:val="03A87D6C"/>
    <w:rsid w:val="0658099B"/>
    <w:rsid w:val="13F85EC5"/>
    <w:rsid w:val="1535786D"/>
    <w:rsid w:val="16622E77"/>
    <w:rsid w:val="18A35176"/>
    <w:rsid w:val="1C2265C6"/>
    <w:rsid w:val="1EBC29B7"/>
    <w:rsid w:val="23373837"/>
    <w:rsid w:val="279D6A9F"/>
    <w:rsid w:val="28DB3A89"/>
    <w:rsid w:val="28F66026"/>
    <w:rsid w:val="32103423"/>
    <w:rsid w:val="34CC611D"/>
    <w:rsid w:val="38345AAC"/>
    <w:rsid w:val="3B812323"/>
    <w:rsid w:val="3D47168B"/>
    <w:rsid w:val="3FFB7890"/>
    <w:rsid w:val="43D16793"/>
    <w:rsid w:val="4A974E8B"/>
    <w:rsid w:val="4D206D19"/>
    <w:rsid w:val="515D6061"/>
    <w:rsid w:val="54D75028"/>
    <w:rsid w:val="54FE6D41"/>
    <w:rsid w:val="58B07C00"/>
    <w:rsid w:val="58EE72E0"/>
    <w:rsid w:val="59347DB7"/>
    <w:rsid w:val="5B422EBA"/>
    <w:rsid w:val="5DF550B6"/>
    <w:rsid w:val="60B8532C"/>
    <w:rsid w:val="63EF25F3"/>
    <w:rsid w:val="6E456A1A"/>
    <w:rsid w:val="71D011B6"/>
    <w:rsid w:val="7880627A"/>
    <w:rsid w:val="7905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color w:val="000000"/>
      <w:kern w:val="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1887</Words>
  <Characters>2150</Characters>
  <Lines>0</Lines>
  <Paragraphs>0</Paragraphs>
  <TotalTime>16</TotalTime>
  <ScaleCrop>false</ScaleCrop>
  <LinksUpToDate>false</LinksUpToDate>
  <CharactersWithSpaces>2252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卢凤真</cp:lastModifiedBy>
  <dcterms:modified xsi:type="dcterms:W3CDTF">2023-10-24T00:36:43Z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558AE5ABA05E4B108B88705E44F94AF3</vt:lpwstr>
  </property>
</Properties>
</file>