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惠安县市场监督管理局</w:t>
      </w:r>
    </w:p>
    <w:p>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行政处罚决定书</w:t>
      </w: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outlineLvl w:val="9"/>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惠市监罚〔</w:t>
      </w:r>
      <w:r>
        <w:rPr>
          <w:rFonts w:hint="eastAsia" w:ascii="仿宋_GB2312" w:hAnsi="仿宋_GB2312" w:eastAsia="仿宋_GB2312" w:cs="仿宋_GB2312"/>
          <w:color w:val="auto"/>
          <w:spacing w:val="0"/>
          <w:sz w:val="32"/>
          <w:szCs w:val="32"/>
          <w:lang w:val="en-US" w:eastAsia="zh-CN"/>
        </w:rPr>
        <w:t>2023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329</w:t>
      </w:r>
      <w:r>
        <w:rPr>
          <w:rFonts w:hint="eastAsia" w:ascii="仿宋_GB2312" w:hAnsi="仿宋_GB2312" w:eastAsia="仿宋_GB2312" w:cs="仿宋_GB2312"/>
          <w:color w:val="auto"/>
          <w:spacing w:val="0"/>
          <w:sz w:val="32"/>
          <w:szCs w:val="32"/>
          <w:lang w:eastAsia="zh-CN"/>
        </w:rPr>
        <w:t>号</w:t>
      </w:r>
    </w:p>
    <w:p>
      <w:pPr>
        <w:keepNext w:val="0"/>
        <w:keepLines w:val="0"/>
        <w:pageBreakBefore w:val="0"/>
        <w:widowControl/>
        <w:kinsoku w:val="0"/>
        <w:wordWrap w:val="0"/>
        <w:overflowPunct/>
        <w:topLinePunct w:val="0"/>
        <w:autoSpaceDE w:val="0"/>
        <w:autoSpaceDN w:val="0"/>
        <w:bidi w:val="0"/>
        <w:adjustRightInd w:val="0"/>
        <w:snapToGrid w:val="0"/>
        <w:spacing w:before="104" w:line="560" w:lineRule="exact"/>
        <w:ind w:left="34" w:right="17" w:firstLine="34"/>
        <w:textAlignment w:val="baseline"/>
        <w:outlineLvl w:val="9"/>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 xml:space="preserve">当事人：惠安县东岭新煌电器城 </w:t>
      </w:r>
    </w:p>
    <w:p>
      <w:pPr>
        <w:keepNext w:val="0"/>
        <w:keepLines w:val="0"/>
        <w:pageBreakBefore w:val="0"/>
        <w:widowControl/>
        <w:kinsoku w:val="0"/>
        <w:wordWrap w:val="0"/>
        <w:overflowPunct/>
        <w:topLinePunct w:val="0"/>
        <w:autoSpaceDE w:val="0"/>
        <w:autoSpaceDN w:val="0"/>
        <w:bidi w:val="0"/>
        <w:adjustRightInd w:val="0"/>
        <w:snapToGrid w:val="0"/>
        <w:spacing w:before="104" w:line="560" w:lineRule="exact"/>
        <w:ind w:left="34" w:right="17" w:firstLine="34"/>
        <w:textAlignment w:val="baseline"/>
        <w:outlineLvl w:val="9"/>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 xml:space="preserve">主体资格证照名称：营业执照     </w:t>
      </w:r>
    </w:p>
    <w:p>
      <w:pPr>
        <w:keepNext w:val="0"/>
        <w:keepLines w:val="0"/>
        <w:pageBreakBefore w:val="0"/>
        <w:widowControl/>
        <w:kinsoku w:val="0"/>
        <w:wordWrap w:val="0"/>
        <w:overflowPunct/>
        <w:topLinePunct w:val="0"/>
        <w:autoSpaceDE w:val="0"/>
        <w:autoSpaceDN w:val="0"/>
        <w:bidi w:val="0"/>
        <w:adjustRightInd w:val="0"/>
        <w:snapToGrid w:val="0"/>
        <w:spacing w:before="104" w:line="560" w:lineRule="exact"/>
        <w:ind w:left="34" w:right="17" w:firstLine="34"/>
        <w:textAlignment w:val="baseline"/>
        <w:outlineLvl w:val="9"/>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统一社会信用代码：92350521MA31TDD50Y</w:t>
      </w:r>
    </w:p>
    <w:p>
      <w:pPr>
        <w:keepNext w:val="0"/>
        <w:keepLines w:val="0"/>
        <w:pageBreakBefore w:val="0"/>
        <w:widowControl/>
        <w:kinsoku w:val="0"/>
        <w:wordWrap w:val="0"/>
        <w:overflowPunct/>
        <w:topLinePunct w:val="0"/>
        <w:autoSpaceDE w:val="0"/>
        <w:autoSpaceDN w:val="0"/>
        <w:bidi w:val="0"/>
        <w:adjustRightInd w:val="0"/>
        <w:snapToGrid w:val="0"/>
        <w:spacing w:before="104" w:line="560" w:lineRule="exact"/>
        <w:ind w:left="34" w:right="17" w:firstLine="34"/>
        <w:textAlignment w:val="baseline"/>
        <w:outlineLvl w:val="9"/>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经营场所：福建省泉州市惠安县东岭镇东兴街164号</w:t>
      </w:r>
    </w:p>
    <w:p>
      <w:pPr>
        <w:keepNext w:val="0"/>
        <w:keepLines w:val="0"/>
        <w:pageBreakBefore w:val="0"/>
        <w:widowControl/>
        <w:kinsoku w:val="0"/>
        <w:wordWrap w:val="0"/>
        <w:overflowPunct/>
        <w:topLinePunct w:val="0"/>
        <w:autoSpaceDE w:val="0"/>
        <w:autoSpaceDN w:val="0"/>
        <w:bidi w:val="0"/>
        <w:adjustRightInd w:val="0"/>
        <w:snapToGrid w:val="0"/>
        <w:spacing w:before="104" w:line="560" w:lineRule="exact"/>
        <w:ind w:left="34" w:right="17" w:firstLine="34"/>
        <w:textAlignment w:val="baseline"/>
        <w:outlineLvl w:val="9"/>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 xml:space="preserve">经营者：郑贤琴     </w:t>
      </w:r>
    </w:p>
    <w:p>
      <w:pPr>
        <w:keepNext w:val="0"/>
        <w:keepLines w:val="0"/>
        <w:pageBreakBefore w:val="0"/>
        <w:widowControl/>
        <w:kinsoku w:val="0"/>
        <w:wordWrap w:val="0"/>
        <w:overflowPunct/>
        <w:topLinePunct w:val="0"/>
        <w:autoSpaceDE w:val="0"/>
        <w:autoSpaceDN w:val="0"/>
        <w:bidi w:val="0"/>
        <w:adjustRightInd w:val="0"/>
        <w:snapToGrid w:val="0"/>
        <w:spacing w:before="104" w:line="560" w:lineRule="exact"/>
        <w:ind w:left="34" w:right="17" w:firstLine="34"/>
        <w:textAlignment w:val="baseline"/>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u w:val="none"/>
          <w:lang w:val="en-US" w:eastAsia="zh-CN"/>
        </w:rPr>
        <w:t>身份证件号码：***</w:t>
      </w:r>
      <w:bookmarkStart w:id="0" w:name="_GoBack"/>
      <w:bookmarkEnd w:id="0"/>
      <w:r>
        <w:rPr>
          <w:rFonts w:hint="eastAsia" w:ascii="仿宋_GB2312" w:hAnsi="仿宋_GB2312" w:eastAsia="仿宋_GB2312" w:cs="仿宋_GB2312"/>
          <w:spacing w:val="0"/>
          <w:sz w:val="32"/>
          <w:szCs w:val="32"/>
          <w:u w:val="none"/>
          <w:lang w:val="en-US" w:eastAsia="zh-CN"/>
        </w:rPr>
        <w:t xml:space="preserve"> </w:t>
      </w:r>
      <w:r>
        <w:rPr>
          <w:rFonts w:hint="eastAsia" w:ascii="仿宋_GB2312" w:hAnsi="仿宋_GB2312" w:eastAsia="仿宋_GB2312" w:cs="仿宋_GB2312"/>
          <w:spacing w:val="0"/>
          <w:sz w:val="30"/>
          <w:szCs w:val="30"/>
          <w:u w:val="none"/>
          <w:lang w:val="en-US" w:eastAsia="zh-CN"/>
        </w:rPr>
        <w:t xml:space="preserve">   </w:t>
      </w:r>
      <w:r>
        <w:rPr>
          <w:rFonts w:hint="eastAsia" w:ascii="仿宋_GB2312" w:hAnsi="仿宋_GB2312" w:eastAsia="仿宋_GB2312" w:cs="仿宋_GB2312"/>
          <w:spacing w:val="0"/>
          <w:sz w:val="32"/>
          <w:szCs w:val="32"/>
          <w:u w:val="none"/>
          <w:lang w:val="en-US" w:eastAsia="zh-CN"/>
        </w:rPr>
        <w:t xml:space="preserve">  </w:t>
      </w:r>
      <w:r>
        <w:rPr>
          <w:rFonts w:hint="eastAsia" w:ascii="仿宋_GB2312" w:hAnsi="仿宋_GB2312" w:eastAsia="仿宋_GB2312" w:cs="仿宋_GB2312"/>
          <w:spacing w:val="0"/>
          <w:sz w:val="32"/>
          <w:szCs w:val="32"/>
          <w:u w:val="none"/>
        </w:rPr>
        <w:t xml:space="preserve"> </w:t>
      </w:r>
    </w:p>
    <w:p>
      <w:pPr>
        <w:pStyle w:val="2"/>
        <w:keepNext w:val="0"/>
        <w:keepLines w:val="0"/>
        <w:pageBreakBefore w:val="0"/>
        <w:widowControl/>
        <w:tabs>
          <w:tab w:val="left" w:pos="8270"/>
        </w:tabs>
        <w:kinsoku/>
        <w:wordWrap w:val="0"/>
        <w:overflowPunct/>
        <w:topLinePunct w:val="0"/>
        <w:autoSpaceDE w:val="0"/>
        <w:autoSpaceDN w:val="0"/>
        <w:bidi w:val="0"/>
        <w:adjustRightInd w:val="0"/>
        <w:snapToGrid w:val="0"/>
        <w:spacing w:before="104" w:line="500" w:lineRule="exact"/>
        <w:ind w:left="0" w:firstLine="608" w:firstLineChars="190"/>
        <w:textAlignment w:val="baseline"/>
        <w:outlineLvl w:val="9"/>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本局于2023年9月27日依法对惠安县东岭新煌电器城的经营场所进行检查。经营场所共有两层，1楼和2楼均设有店面，消费者均可以正常出入，连接1楼和2楼的通道共有两个楼梯；门口挂有招牌，标有“新煌电器城”。2楼内设有若干货架和货柜，本局在其中一个货柜上发现2台家用燃气灶，1台家用燃气灶产品表面加贴有标签，标有“生产许可证：XK-21-007-00444、名称：家用燃气灶、型号：JZY-Q63S”、生产日期：1903250301、广东美的厨房电器制造有限公司”等信息，产品旁另加贴有红色标签标有“活动价1850”；1台家用燃气灶产品表面加贴有标签，标有“名称：家用燃气灶、型号：JZY-Q60A、生产日期：202103290101、广东美的厨卫电器制造有限公司、标有3C认证标识”等信息，产品旁另加贴有黄色标签标有“惊爆价888”等信息。当事人现场提供其中一台型号为JZY-Q63S的包装箱，包装箱上加贴有标签，标有“生产许可证号：XK21-007-00444、执行标准：GB16410-2007 GB30720-2014、生产日期：19032503010087”等信息；其余一台型号为JZY-Q60A的包装箱，包装箱上加贴有标签，标有“执行标准：GB16410-2007 GB30720-2014、生产日期：2021032901011089、本产品获得国家强制认证”等信息。新的GB16410-2020（家用燃气灶）实施日期为2022年1月1日，上述2台家用燃气灶产品执行标准GB16410-2007为失效标准，本局当场对上述2台家用燃气灶予以扣押。2023年10月11日本局以当事人涉嫌销售不符合强制性标准的家用燃气灶为案由予以立案调查。</w:t>
      </w:r>
    </w:p>
    <w:p>
      <w:pPr>
        <w:pStyle w:val="2"/>
        <w:keepNext w:val="0"/>
        <w:keepLines w:val="0"/>
        <w:pageBreakBefore w:val="0"/>
        <w:widowControl/>
        <w:tabs>
          <w:tab w:val="left" w:pos="8270"/>
        </w:tabs>
        <w:kinsoku/>
        <w:wordWrap w:val="0"/>
        <w:overflowPunct/>
        <w:topLinePunct w:val="0"/>
        <w:autoSpaceDE w:val="0"/>
        <w:autoSpaceDN w:val="0"/>
        <w:bidi w:val="0"/>
        <w:adjustRightInd w:val="0"/>
        <w:snapToGrid w:val="0"/>
        <w:spacing w:before="104" w:line="500" w:lineRule="exact"/>
        <w:ind w:left="0" w:firstLine="608" w:firstLineChars="190"/>
        <w:textAlignment w:val="baseline"/>
        <w:outlineLvl w:val="9"/>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经查明，当事人购进2台家用燃气灶，型号和售价分别为JZY-Q63S和1850元/台、JZY-Q60A和888元/台，产品执行标准均为失效的GB16410-2007，之后放在经营场所2楼的货柜上销售，尚未售出就被本局依法扣押，故无违法所得。上述2台家用燃气灶货值金额共计2738元。新的家用燃气灶产品执行标准GB16410-2020已于2022年1月1日正式实施，当事人销售的2台家用燃气灶为不符合国家强制性标准的产品。当事人无法提供涉案产品的供货商营业执照和进货票据，故未能如实说明进货来源。</w:t>
      </w:r>
    </w:p>
    <w:p>
      <w:pPr>
        <w:pStyle w:val="2"/>
        <w:keepNext w:val="0"/>
        <w:keepLines w:val="0"/>
        <w:pageBreakBefore w:val="0"/>
        <w:widowControl/>
        <w:tabs>
          <w:tab w:val="left" w:pos="8270"/>
        </w:tabs>
        <w:kinsoku/>
        <w:wordWrap w:val="0"/>
        <w:overflowPunct/>
        <w:topLinePunct w:val="0"/>
        <w:autoSpaceDE w:val="0"/>
        <w:autoSpaceDN w:val="0"/>
        <w:bidi w:val="0"/>
        <w:adjustRightInd w:val="0"/>
        <w:snapToGrid w:val="0"/>
        <w:spacing w:before="104" w:line="500" w:lineRule="exact"/>
        <w:ind w:left="0" w:firstLine="608" w:firstLineChars="190"/>
        <w:textAlignment w:val="baseline"/>
        <w:outlineLvl w:val="9"/>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上述事实，主要有以下证据证明：1.现场检查笔录、证据提取单5份；2.当事人的营业执照复印件、经营者身份证复印件及询问笔录各1份；3.涉案2台家用燃气灶使用说明书节选复印件6份；4.办案人员执法证复印件一份。</w:t>
      </w:r>
    </w:p>
    <w:p>
      <w:pPr>
        <w:pStyle w:val="2"/>
        <w:keepNext w:val="0"/>
        <w:keepLines w:val="0"/>
        <w:pageBreakBefore w:val="0"/>
        <w:widowControl/>
        <w:tabs>
          <w:tab w:val="left" w:pos="8270"/>
        </w:tabs>
        <w:kinsoku/>
        <w:wordWrap w:val="0"/>
        <w:overflowPunct/>
        <w:topLinePunct w:val="0"/>
        <w:autoSpaceDE w:val="0"/>
        <w:autoSpaceDN w:val="0"/>
        <w:bidi w:val="0"/>
        <w:adjustRightInd w:val="0"/>
        <w:snapToGrid w:val="0"/>
        <w:spacing w:before="104" w:line="500" w:lineRule="exact"/>
        <w:ind w:left="0" w:firstLine="608" w:firstLineChars="190"/>
        <w:textAlignment w:val="baseline"/>
        <w:outlineLvl w:val="9"/>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本局于2023年10月17日向当事人直接送达《行政处罚告知书》，当事人未在五个工作日内向本局提出陈述、申辩。</w:t>
      </w:r>
    </w:p>
    <w:p>
      <w:pPr>
        <w:pStyle w:val="2"/>
        <w:keepNext w:val="0"/>
        <w:keepLines w:val="0"/>
        <w:pageBreakBefore w:val="0"/>
        <w:widowControl/>
        <w:tabs>
          <w:tab w:val="left" w:pos="8270"/>
        </w:tabs>
        <w:kinsoku/>
        <w:wordWrap w:val="0"/>
        <w:overflowPunct/>
        <w:topLinePunct w:val="0"/>
        <w:autoSpaceDE w:val="0"/>
        <w:autoSpaceDN w:val="0"/>
        <w:bidi w:val="0"/>
        <w:adjustRightInd w:val="0"/>
        <w:snapToGrid w:val="0"/>
        <w:spacing w:before="104" w:line="500" w:lineRule="exact"/>
        <w:ind w:left="0" w:firstLine="608" w:firstLineChars="190"/>
        <w:textAlignment w:val="baseline"/>
        <w:outlineLvl w:val="9"/>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本局认为当事人销售的涉案2台家用燃气灶产品执行标准均为GB16410-2007，该标准已于2022年1月1日被GB16410-2020代替，系失效标准。当事人销售的2台家用燃气灶为不符合现行有效国家强制性标准GB16410-2020的产品。当事人销售不符合强制性标准的产品，违反了《中华人民共和国产品质量法》第十三条第二款的规定，构成销售不符合强制性标准的产品的违法行为。</w:t>
      </w:r>
    </w:p>
    <w:p>
      <w:pPr>
        <w:pStyle w:val="2"/>
        <w:keepNext w:val="0"/>
        <w:keepLines w:val="0"/>
        <w:pageBreakBefore w:val="0"/>
        <w:widowControl/>
        <w:tabs>
          <w:tab w:val="left" w:pos="8270"/>
        </w:tabs>
        <w:kinsoku/>
        <w:wordWrap w:val="0"/>
        <w:overflowPunct/>
        <w:topLinePunct w:val="0"/>
        <w:autoSpaceDE w:val="0"/>
        <w:autoSpaceDN w:val="0"/>
        <w:bidi w:val="0"/>
        <w:adjustRightInd w:val="0"/>
        <w:snapToGrid w:val="0"/>
        <w:spacing w:before="104" w:line="500" w:lineRule="exact"/>
        <w:ind w:left="0" w:firstLine="608" w:firstLineChars="190"/>
        <w:textAlignment w:val="baseline"/>
        <w:outlineLvl w:val="9"/>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鉴于当事人积极配合市场监督管理部门调查，如实陈述违法事实并主动提供证据材料；本局决定予以从轻处罚。</w:t>
      </w:r>
    </w:p>
    <w:p>
      <w:pPr>
        <w:pStyle w:val="2"/>
        <w:keepNext w:val="0"/>
        <w:keepLines w:val="0"/>
        <w:pageBreakBefore w:val="0"/>
        <w:widowControl/>
        <w:tabs>
          <w:tab w:val="left" w:pos="8270"/>
        </w:tabs>
        <w:kinsoku/>
        <w:wordWrap w:val="0"/>
        <w:overflowPunct/>
        <w:topLinePunct w:val="0"/>
        <w:autoSpaceDE w:val="0"/>
        <w:autoSpaceDN w:val="0"/>
        <w:bidi w:val="0"/>
        <w:adjustRightInd w:val="0"/>
        <w:snapToGrid w:val="0"/>
        <w:spacing w:before="104" w:line="500" w:lineRule="exact"/>
        <w:ind w:left="0" w:firstLine="608" w:firstLineChars="190"/>
        <w:textAlignment w:val="baseline"/>
        <w:outlineLvl w:val="9"/>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综上，本局依据《中华人民共和国产品质量法》第四十九条的规定，现责令当事人改正上述违法行为，并决定处罚如下：</w:t>
      </w:r>
    </w:p>
    <w:p>
      <w:pPr>
        <w:pStyle w:val="2"/>
        <w:keepNext w:val="0"/>
        <w:keepLines w:val="0"/>
        <w:pageBreakBefore w:val="0"/>
        <w:widowControl/>
        <w:tabs>
          <w:tab w:val="left" w:pos="8270"/>
        </w:tabs>
        <w:kinsoku/>
        <w:wordWrap w:val="0"/>
        <w:overflowPunct/>
        <w:topLinePunct w:val="0"/>
        <w:autoSpaceDE w:val="0"/>
        <w:autoSpaceDN w:val="0"/>
        <w:bidi w:val="0"/>
        <w:adjustRightInd w:val="0"/>
        <w:snapToGrid w:val="0"/>
        <w:spacing w:before="104" w:line="500" w:lineRule="exact"/>
        <w:ind w:left="0" w:firstLine="608" w:firstLineChars="190"/>
        <w:textAlignment w:val="baseline"/>
        <w:outlineLvl w:val="9"/>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没收在扣2台家用燃气灶，并处罚款3000元。</w:t>
      </w:r>
    </w:p>
    <w:p>
      <w:pPr>
        <w:pStyle w:val="2"/>
        <w:keepNext w:val="0"/>
        <w:keepLines w:val="0"/>
        <w:pageBreakBefore w:val="0"/>
        <w:widowControl/>
        <w:tabs>
          <w:tab w:val="left" w:pos="8270"/>
        </w:tabs>
        <w:kinsoku/>
        <w:wordWrap/>
        <w:overflowPunct/>
        <w:topLinePunct w:val="0"/>
        <w:autoSpaceDE w:val="0"/>
        <w:autoSpaceDN w:val="0"/>
        <w:bidi w:val="0"/>
        <w:adjustRightInd w:val="0"/>
        <w:snapToGrid w:val="0"/>
        <w:spacing w:line="500" w:lineRule="exact"/>
        <w:ind w:left="0" w:firstLine="608" w:firstLineChars="190"/>
        <w:textAlignment w:val="baseline"/>
        <w:outlineLvl w:val="9"/>
        <w:rPr>
          <w:rFonts w:hint="eastAsia" w:ascii="仿宋_GB2312" w:hAnsi="仿宋_GB2312" w:eastAsia="仿宋_GB2312" w:cs="仿宋_GB2312"/>
          <w:color w:val="auto"/>
          <w:spacing w:val="0"/>
          <w:lang w:val="en-US" w:eastAsia="zh-CN"/>
        </w:rPr>
      </w:pPr>
      <w:r>
        <w:rPr>
          <w:rFonts w:hint="eastAsia" w:ascii="仿宋_GB2312" w:hAnsi="仿宋_GB2312" w:eastAsia="仿宋_GB2312" w:cs="仿宋_GB2312"/>
          <w:color w:val="auto"/>
          <w:spacing w:val="0"/>
          <w:lang w:val="en-US" w:eastAsia="zh-CN"/>
        </w:rPr>
        <w:t>所处罚款，当事人应当在接到本行政处罚决定书之日起十五日内（末日为节假日顺延），到本局东岭所开具缴款书并到银行缴纳罚没款。根据《中华人民共和国行政处罚法》第七十二条第一款第一项、《中华人民共和国行政强制法》第四十五条、第五十三条的规定，逾期不缴纳罚款的，应自缴纳期限届满次日起每日按罚款数额的百分之三加处罚款。</w:t>
      </w:r>
    </w:p>
    <w:p>
      <w:pPr>
        <w:pStyle w:val="2"/>
        <w:keepNext w:val="0"/>
        <w:keepLines w:val="0"/>
        <w:pageBreakBefore w:val="0"/>
        <w:widowControl/>
        <w:tabs>
          <w:tab w:val="left" w:pos="8270"/>
        </w:tabs>
        <w:kinsoku/>
        <w:wordWrap/>
        <w:overflowPunct/>
        <w:topLinePunct w:val="0"/>
        <w:autoSpaceDE w:val="0"/>
        <w:autoSpaceDN w:val="0"/>
        <w:bidi w:val="0"/>
        <w:adjustRightInd w:val="0"/>
        <w:snapToGrid w:val="0"/>
        <w:spacing w:line="500" w:lineRule="exact"/>
        <w:ind w:left="0" w:firstLine="608" w:firstLineChars="190"/>
        <w:textAlignment w:val="baseline"/>
        <w:outlineLvl w:val="9"/>
        <w:rPr>
          <w:rFonts w:hint="eastAsia" w:ascii="仿宋_GB2312" w:hAnsi="仿宋_GB2312" w:eastAsia="仿宋_GB2312" w:cs="仿宋_GB2312"/>
          <w:color w:val="auto"/>
          <w:spacing w:val="0"/>
          <w:lang w:val="en-US" w:eastAsia="zh-CN"/>
        </w:rPr>
      </w:pPr>
      <w:r>
        <w:rPr>
          <w:rFonts w:hint="eastAsia" w:ascii="仿宋_GB2312" w:hAnsi="仿宋_GB2312" w:eastAsia="仿宋_GB2312" w:cs="仿宋_GB2312"/>
          <w:color w:val="auto"/>
          <w:spacing w:val="0"/>
          <w:lang w:val="en-US" w:eastAsia="zh-CN"/>
        </w:rPr>
        <w:t>如对本行政处罚决定不服，可于收到本决定书之日起六十日内向惠安县人民政府申请行政复议，也可以于六个月内依法向鲤城区人民法院提起行政诉讼。前述期间，本行政处罚不停止执行。</w:t>
      </w:r>
    </w:p>
    <w:p>
      <w:pPr>
        <w:pStyle w:val="2"/>
        <w:keepNext w:val="0"/>
        <w:keepLines w:val="0"/>
        <w:pageBreakBefore w:val="0"/>
        <w:widowControl/>
        <w:tabs>
          <w:tab w:val="left" w:pos="8270"/>
        </w:tabs>
        <w:kinsoku/>
        <w:wordWrap/>
        <w:overflowPunct/>
        <w:topLinePunct w:val="0"/>
        <w:autoSpaceDE w:val="0"/>
        <w:autoSpaceDN w:val="0"/>
        <w:bidi w:val="0"/>
        <w:adjustRightInd w:val="0"/>
        <w:snapToGrid w:val="0"/>
        <w:spacing w:line="520" w:lineRule="exact"/>
        <w:ind w:left="0" w:leftChars="0" w:firstLine="0" w:firstLineChars="0"/>
        <w:textAlignment w:val="baseline"/>
        <w:outlineLvl w:val="9"/>
        <w:rPr>
          <w:rFonts w:hint="eastAsia" w:ascii="仿宋_GB2312" w:hAnsi="仿宋_GB2312" w:eastAsia="仿宋_GB2312" w:cs="仿宋_GB2312"/>
          <w:color w:val="auto"/>
          <w:spacing w:val="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242" w:line="520" w:lineRule="exact"/>
        <w:ind w:firstLine="4480" w:firstLineChars="1400"/>
        <w:textAlignment w:val="baseline"/>
        <w:outlineLvl w:val="9"/>
        <w:rPr>
          <w:rFonts w:hint="eastAsia" w:ascii="仿宋_GB2312" w:hAnsi="仿宋_GB2312" w:eastAsia="仿宋_GB2312" w:cs="仿宋_GB2312"/>
          <w:snapToGrid w:val="0"/>
          <w:spacing w:val="0"/>
          <w:sz w:val="32"/>
          <w:szCs w:val="32"/>
          <w:lang w:eastAsia="zh-CN"/>
        </w:rPr>
      </w:pPr>
      <w:r>
        <w:rPr>
          <w:rFonts w:hint="eastAsia" w:ascii="仿宋_GB2312" w:hAnsi="仿宋_GB2312" w:eastAsia="仿宋_GB2312" w:cs="仿宋_GB2312"/>
          <w:snapToGrid w:val="0"/>
          <w:spacing w:val="0"/>
          <w:sz w:val="32"/>
          <w:szCs w:val="32"/>
          <w:lang w:eastAsia="zh-CN"/>
        </w:rPr>
        <w:t>惠安县市场监督管理局</w:t>
      </w:r>
    </w:p>
    <w:p>
      <w:pPr>
        <w:keepNext w:val="0"/>
        <w:keepLines w:val="0"/>
        <w:pageBreakBefore w:val="0"/>
        <w:widowControl/>
        <w:kinsoku w:val="0"/>
        <w:wordWrap/>
        <w:overflowPunct/>
        <w:topLinePunct w:val="0"/>
        <w:autoSpaceDE w:val="0"/>
        <w:autoSpaceDN w:val="0"/>
        <w:bidi w:val="0"/>
        <w:adjustRightInd w:val="0"/>
        <w:snapToGrid w:val="0"/>
        <w:spacing w:before="242" w:line="520" w:lineRule="exact"/>
        <w:ind w:firstLine="5120" w:firstLineChars="1600"/>
        <w:textAlignment w:val="baseline"/>
        <w:outlineLvl w:val="9"/>
        <w:rPr>
          <w:rFonts w:hint="default" w:ascii="仿宋" w:hAnsi="仿宋" w:eastAsia="仿宋" w:cs="仿宋"/>
          <w:spacing w:val="0"/>
          <w:sz w:val="32"/>
          <w:szCs w:val="32"/>
          <w:lang w:val="en-US" w:eastAsia="zh-CN"/>
        </w:rPr>
      </w:pPr>
      <w:r>
        <w:rPr>
          <w:rFonts w:hint="eastAsia" w:ascii="仿宋_GB2312" w:hAnsi="仿宋_GB2312" w:eastAsia="仿宋_GB2312" w:cs="仿宋_GB2312"/>
          <w:snapToGrid w:val="0"/>
          <w:spacing w:val="0"/>
          <w:sz w:val="32"/>
          <w:szCs w:val="32"/>
          <w:lang w:val="en-US" w:eastAsia="zh-CN"/>
        </w:rPr>
        <w:t>2023</w:t>
      </w:r>
      <w:r>
        <w:rPr>
          <w:rFonts w:hint="eastAsia" w:ascii="仿宋_GB2312" w:hAnsi="仿宋_GB2312" w:eastAsia="仿宋_GB2312" w:cs="仿宋_GB2312"/>
          <w:snapToGrid w:val="0"/>
          <w:spacing w:val="0"/>
          <w:sz w:val="32"/>
          <w:szCs w:val="32"/>
          <w:lang w:eastAsia="zh-CN"/>
        </w:rPr>
        <w:t>年</w:t>
      </w:r>
      <w:r>
        <w:rPr>
          <w:rFonts w:hint="eastAsia" w:ascii="仿宋_GB2312" w:hAnsi="仿宋_GB2312" w:eastAsia="仿宋_GB2312" w:cs="仿宋_GB2312"/>
          <w:snapToGrid w:val="0"/>
          <w:spacing w:val="0"/>
          <w:sz w:val="32"/>
          <w:szCs w:val="32"/>
          <w:lang w:val="en-US" w:eastAsia="zh-CN"/>
        </w:rPr>
        <w:t>10</w:t>
      </w:r>
      <w:r>
        <w:rPr>
          <w:rFonts w:hint="eastAsia" w:ascii="仿宋_GB2312" w:hAnsi="仿宋_GB2312" w:eastAsia="仿宋_GB2312" w:cs="仿宋_GB2312"/>
          <w:snapToGrid w:val="0"/>
          <w:spacing w:val="0"/>
          <w:sz w:val="32"/>
          <w:szCs w:val="32"/>
          <w:lang w:eastAsia="zh-CN"/>
        </w:rPr>
        <w:t>月</w:t>
      </w:r>
      <w:r>
        <w:rPr>
          <w:rFonts w:hint="eastAsia" w:ascii="仿宋_GB2312" w:hAnsi="仿宋_GB2312" w:eastAsia="仿宋_GB2312" w:cs="仿宋_GB2312"/>
          <w:snapToGrid w:val="0"/>
          <w:spacing w:val="0"/>
          <w:sz w:val="32"/>
          <w:szCs w:val="32"/>
          <w:lang w:val="en-US" w:eastAsia="zh-CN"/>
        </w:rPr>
        <w:t>25日</w:t>
      </w:r>
    </w:p>
    <w:p>
      <w:pPr>
        <w:keepNext w:val="0"/>
        <w:keepLines w:val="0"/>
        <w:pageBreakBefore w:val="0"/>
        <w:widowControl/>
        <w:kinsoku w:val="0"/>
        <w:wordWrap/>
        <w:overflowPunct/>
        <w:topLinePunct w:val="0"/>
        <w:autoSpaceDE w:val="0"/>
        <w:autoSpaceDN w:val="0"/>
        <w:bidi w:val="0"/>
        <w:adjustRightInd w:val="0"/>
        <w:snapToGrid w:val="0"/>
        <w:spacing w:before="105" w:line="20" w:lineRule="exact"/>
        <w:textAlignment w:val="baseline"/>
        <w:outlineLvl w:val="9"/>
        <w:rPr>
          <w:rFonts w:hint="eastAsia" w:ascii="仿宋" w:hAnsi="仿宋" w:eastAsia="仿宋"/>
          <w:color w:val="00000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before="242" w:line="520" w:lineRule="exact"/>
        <w:ind w:firstLine="5120" w:firstLineChars="1600"/>
        <w:textAlignment w:val="baseline"/>
        <w:outlineLvl w:val="9"/>
        <w:rPr>
          <w:rFonts w:hint="default" w:ascii="仿宋" w:hAnsi="仿宋" w:eastAsia="仿宋" w:cs="仿宋"/>
          <w:spacing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05" w:line="520" w:lineRule="exact"/>
        <w:textAlignment w:val="baseline"/>
        <w:outlineLvl w:val="9"/>
        <w:rPr>
          <w:rFonts w:hint="eastAsia" w:ascii="仿宋" w:hAnsi="仿宋" w:eastAsia="仿宋" w:cs="仿宋"/>
          <w:sz w:val="30"/>
          <w:szCs w:val="30"/>
        </w:rPr>
      </w:pPr>
      <w:r>
        <w:rPr>
          <w:rFonts w:hint="eastAsia" w:ascii="仿宋" w:hAnsi="仿宋" w:eastAsia="仿宋" w:cs="仿宋"/>
          <w:b/>
          <w:bCs/>
          <w:color w:val="231F20"/>
          <w:spacing w:val="0"/>
          <w:sz w:val="30"/>
          <w:szCs w:val="30"/>
        </w:rPr>
        <w:t>（市场监督管理部门将依法向社会公开行政处罚决定信息）</w:t>
      </w: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outlineLvl w:val="9"/>
        <w:rPr>
          <w:rFonts w:hint="default" w:ascii="Arial" w:hAnsi="Arial" w:eastAsia="Arial" w:cs="Arial"/>
          <w:vanish/>
          <w:color w:val="000000"/>
          <w:kern w:val="0"/>
          <w:sz w:val="21"/>
          <w:szCs w:val="21"/>
          <w:lang w:val="en-US" w:eastAsia="zh-CN" w:bidi="ar-SA"/>
        </w:rPr>
      </w:pPr>
      <w:r>
        <w:rPr>
          <w:rFonts w:hint="eastAsia" w:ascii="仿宋" w:hAnsi="仿宋" w:eastAsia="仿宋" w:cs="仿宋"/>
          <w:sz w:val="30"/>
          <w:szCs w:val="30"/>
        </w:rPr>
        <w:t>本文书一式</w:t>
      </w:r>
      <w:r>
        <w:rPr>
          <w:rFonts w:hint="eastAsia" w:ascii="仿宋" w:hAnsi="仿宋" w:eastAsia="仿宋" w:cs="仿宋"/>
          <w:sz w:val="30"/>
          <w:szCs w:val="30"/>
          <w:lang w:eastAsia="zh-CN"/>
        </w:rPr>
        <w:t>三</w:t>
      </w:r>
      <w:r>
        <w:rPr>
          <w:rFonts w:hint="eastAsia" w:ascii="仿宋" w:hAnsi="仿宋" w:eastAsia="仿宋" w:cs="仿宋"/>
          <w:sz w:val="30"/>
          <w:szCs w:val="30"/>
        </w:rPr>
        <w:t>份，</w:t>
      </w:r>
      <w:r>
        <w:rPr>
          <w:rFonts w:hint="eastAsia" w:ascii="仿宋" w:hAnsi="仿宋" w:eastAsia="仿宋" w:cs="仿宋"/>
          <w:sz w:val="30"/>
          <w:szCs w:val="30"/>
          <w:u w:val="none"/>
          <w:lang w:eastAsia="zh-CN"/>
        </w:rPr>
        <w:t>一</w:t>
      </w:r>
      <w:r>
        <w:rPr>
          <w:rFonts w:hint="eastAsia" w:ascii="仿宋" w:hAnsi="仿宋" w:eastAsia="仿宋" w:cs="仿宋"/>
          <w:sz w:val="30"/>
          <w:szCs w:val="30"/>
        </w:rPr>
        <w:t>份送达，一份归档，</w:t>
      </w:r>
      <w:r>
        <w:rPr>
          <w:rFonts w:hint="eastAsia" w:ascii="仿宋" w:hAnsi="仿宋" w:eastAsia="仿宋" w:cs="仿宋"/>
          <w:sz w:val="30"/>
          <w:szCs w:val="30"/>
          <w:u w:val="none"/>
          <w:lang w:eastAsia="zh-CN"/>
        </w:rPr>
        <w:t>一份备查。</w:t>
      </w:r>
      <w:r>
        <w:rPr>
          <w:rFonts w:hint="eastAsia" w:ascii="仿宋_GB2312" w:hAnsi="仿宋_GB2312" w:eastAsia="仿宋_GB2312" w:cs="仿宋_GB2312"/>
          <w:vanish/>
          <w:spacing w:val="0"/>
          <w:sz w:val="32"/>
          <w:szCs w:val="32"/>
          <w:lang w:val="en-US" w:eastAsia="zh-CN"/>
        </w:rPr>
        <w:t xml:space="preserve"> </w:t>
      </w: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92" w:line="197" w:lineRule="exact"/>
      <w:ind w:firstLine="16"/>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第 </w:t>
                          </w: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 xml:space="preserve"> 页 共 </w:t>
                          </w: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NUMPAGES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4</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第 </w:t>
                    </w: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 xml:space="preserve"> 页 共 </w:t>
                    </w: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NUMPAGES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4</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第 </w:t>
                          </w: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2</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 xml:space="preserve"> 页 共 </w:t>
                          </w: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NUMPAGES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4</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第 </w:t>
                    </w: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2</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 xml:space="preserve"> 页 共 </w:t>
                    </w: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NUMPAGES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4</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611A6"/>
    <w:rsid w:val="00DC2B41"/>
    <w:rsid w:val="0107486B"/>
    <w:rsid w:val="01A30210"/>
    <w:rsid w:val="03A811E8"/>
    <w:rsid w:val="03A87D6C"/>
    <w:rsid w:val="04C14C41"/>
    <w:rsid w:val="05E506E0"/>
    <w:rsid w:val="079E1840"/>
    <w:rsid w:val="07BA6DBD"/>
    <w:rsid w:val="09D20C28"/>
    <w:rsid w:val="09EA5842"/>
    <w:rsid w:val="0BD76E90"/>
    <w:rsid w:val="18A35176"/>
    <w:rsid w:val="19D1026F"/>
    <w:rsid w:val="1FF765BD"/>
    <w:rsid w:val="20852B57"/>
    <w:rsid w:val="23B55BD4"/>
    <w:rsid w:val="25AF0D98"/>
    <w:rsid w:val="27993F76"/>
    <w:rsid w:val="279D6A9F"/>
    <w:rsid w:val="27EA5AB5"/>
    <w:rsid w:val="2A386CF2"/>
    <w:rsid w:val="2A546DAF"/>
    <w:rsid w:val="2A7E37B5"/>
    <w:rsid w:val="2BCE0A48"/>
    <w:rsid w:val="2E23595A"/>
    <w:rsid w:val="317212DD"/>
    <w:rsid w:val="32262BC1"/>
    <w:rsid w:val="34511DD2"/>
    <w:rsid w:val="34A13F8A"/>
    <w:rsid w:val="378362B8"/>
    <w:rsid w:val="38485C5C"/>
    <w:rsid w:val="386C2F27"/>
    <w:rsid w:val="388224B9"/>
    <w:rsid w:val="3B6072AD"/>
    <w:rsid w:val="3F2C556C"/>
    <w:rsid w:val="40541191"/>
    <w:rsid w:val="40A9554B"/>
    <w:rsid w:val="48527DF0"/>
    <w:rsid w:val="4A837C02"/>
    <w:rsid w:val="4B2D516C"/>
    <w:rsid w:val="4BAC0A27"/>
    <w:rsid w:val="4C1F0156"/>
    <w:rsid w:val="4D3E3E2D"/>
    <w:rsid w:val="51C6230C"/>
    <w:rsid w:val="51C7526D"/>
    <w:rsid w:val="57495F21"/>
    <w:rsid w:val="57E16652"/>
    <w:rsid w:val="5B1D0334"/>
    <w:rsid w:val="5B5D3E30"/>
    <w:rsid w:val="5BAF11D8"/>
    <w:rsid w:val="5E2A1918"/>
    <w:rsid w:val="5E6D3FE5"/>
    <w:rsid w:val="5F373509"/>
    <w:rsid w:val="62A450DB"/>
    <w:rsid w:val="665718FC"/>
    <w:rsid w:val="69D377EE"/>
    <w:rsid w:val="6B6C5435"/>
    <w:rsid w:val="7055693E"/>
    <w:rsid w:val="706A28E5"/>
    <w:rsid w:val="71D011B6"/>
    <w:rsid w:val="726749FC"/>
    <w:rsid w:val="765F62E7"/>
    <w:rsid w:val="79AA6CC4"/>
    <w:rsid w:val="79D23399"/>
    <w:rsid w:val="7C2673C0"/>
    <w:rsid w:val="7C273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color w:val="000000"/>
      <w:kern w:val="0"/>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ind w:left="220"/>
    </w:pPr>
    <w:rPr>
      <w:rFonts w:ascii="宋体" w:hAnsi="宋体"/>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1551</Words>
  <Characters>1879</Characters>
  <Lines>0</Lines>
  <Paragraphs>0</Paragraphs>
  <TotalTime>1</TotalTime>
  <ScaleCrop>false</ScaleCrop>
  <LinksUpToDate>false</LinksUpToDate>
  <CharactersWithSpaces>1899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卢凤真</cp:lastModifiedBy>
  <cp:lastPrinted>2021-09-07T07:14:00Z</cp:lastPrinted>
  <dcterms:modified xsi:type="dcterms:W3CDTF">2023-11-07T03:48:14Z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46FE9707CA60440EB71D17F642EDFC4C</vt:lpwstr>
  </property>
</Properties>
</file>