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sz w:val="44"/>
          <w:szCs w:val="44"/>
        </w:rPr>
        <w:t>惠安县市场监督管理局</w:t>
      </w:r>
    </w:p>
    <w:p>
      <w:pPr>
        <w:spacing w:line="640" w:lineRule="exact"/>
        <w:jc w:val="center"/>
        <w:rPr>
          <w:rFonts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color w:val="231F20"/>
          <w:sz w:val="44"/>
          <w:szCs w:val="44"/>
        </w:rPr>
        <w:t>行政处罚决定书</w:t>
      </w:r>
    </w:p>
    <w:p>
      <w:pPr>
        <w:spacing w:line="520" w:lineRule="exact"/>
        <w:jc w:val="cente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惠市监罚〔</w:t>
      </w:r>
      <w:r>
        <w:rPr>
          <w:rFonts w:hint="eastAsia" w:ascii="CESI仿宋-GB2312" w:hAnsi="CESI仿宋-GB2312" w:eastAsia="CESI仿宋-GB2312" w:cs="CESI仿宋-GB2312"/>
          <w:sz w:val="32"/>
          <w:szCs w:val="32"/>
          <w:lang w:val="en-US" w:eastAsia="zh-CN"/>
        </w:rPr>
        <w:t>2024</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17</w:t>
      </w:r>
      <w:r>
        <w:rPr>
          <w:rFonts w:hint="eastAsia" w:ascii="CESI仿宋-GB2312" w:hAnsi="CESI仿宋-GB2312" w:eastAsia="CESI仿宋-GB2312" w:cs="CESI仿宋-GB2312"/>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outlineLvl w:val="9"/>
        <w:rPr>
          <w:rFonts w:hint="eastAsia" w:ascii="CESI仿宋-GB2312" w:hAnsi="CESI仿宋-GB2312" w:eastAsia="CESI仿宋-GB2312" w:cs="CESI仿宋-GB2312"/>
          <w:snapToGrid w:val="0"/>
          <w:w w:val="100"/>
          <w:sz w:val="32"/>
          <w:szCs w:val="32"/>
        </w:rPr>
      </w:pPr>
      <w:r>
        <w:rPr>
          <w:rFonts w:hint="eastAsia" w:ascii="CESI仿宋-GB2312" w:hAnsi="CESI仿宋-GB2312" w:eastAsia="CESI仿宋-GB2312" w:cs="CESI仿宋-GB2312"/>
          <w:snapToGrid w:val="0"/>
          <w:w w:val="100"/>
          <w:sz w:val="32"/>
          <w:szCs w:val="32"/>
        </w:rPr>
        <w:t>当事人：</w:t>
      </w:r>
      <w:r>
        <w:rPr>
          <w:rFonts w:hint="eastAsia" w:ascii="CESI仿宋-GB2312" w:hAnsi="CESI仿宋-GB2312" w:eastAsia="CESI仿宋-GB2312" w:cs="CESI仿宋-GB2312"/>
          <w:snapToGrid w:val="0"/>
          <w:sz w:val="32"/>
          <w:szCs w:val="32"/>
          <w:lang w:val="en-US" w:eastAsia="zh-CN"/>
        </w:rPr>
        <w:t>惠安县涂寨镇亿宾牛肉馆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outlineLvl w:val="9"/>
        <w:rPr>
          <w:rFonts w:hint="eastAsia" w:ascii="CESI仿宋-GB2312" w:hAnsi="CESI仿宋-GB2312" w:eastAsia="CESI仿宋-GB2312" w:cs="CESI仿宋-GB2312"/>
          <w:w w:val="100"/>
          <w:sz w:val="32"/>
          <w:szCs w:val="32"/>
          <w:lang w:eastAsia="zh-CN"/>
        </w:rPr>
      </w:pPr>
      <w:r>
        <w:rPr>
          <w:rFonts w:hint="eastAsia" w:ascii="CESI仿宋-GB2312" w:hAnsi="CESI仿宋-GB2312" w:eastAsia="CESI仿宋-GB2312" w:cs="CESI仿宋-GB2312"/>
          <w:w w:val="100"/>
          <w:sz w:val="32"/>
          <w:szCs w:val="32"/>
        </w:rPr>
        <w:t>主体资格证照名称：</w:t>
      </w:r>
      <w:r>
        <w:rPr>
          <w:rFonts w:hint="eastAsia" w:ascii="CESI仿宋-GB2312" w:hAnsi="CESI仿宋-GB2312" w:eastAsia="CESI仿宋-GB2312" w:cs="CESI仿宋-GB2312"/>
          <w:w w:val="100"/>
          <w:sz w:val="32"/>
          <w:szCs w:val="32"/>
          <w:lang w:eastAsia="zh-CN"/>
        </w:rPr>
        <w:t>营业执照</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outlineLvl w:val="9"/>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napToGrid w:val="0"/>
          <w:sz w:val="32"/>
          <w:szCs w:val="32"/>
          <w:lang w:val="en-US" w:eastAsia="zh-CN"/>
        </w:rPr>
        <w:t>注册号：35052160038563</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outlineLvl w:val="9"/>
        <w:rPr>
          <w:rFonts w:hint="eastAsia" w:ascii="CESI仿宋-GB2312" w:hAnsi="CESI仿宋-GB2312" w:eastAsia="CESI仿宋-GB2312" w:cs="CESI仿宋-GB2312"/>
          <w:w w:val="100"/>
          <w:sz w:val="32"/>
          <w:szCs w:val="32"/>
          <w:u w:val="single"/>
        </w:rPr>
      </w:pPr>
      <w:r>
        <w:rPr>
          <w:rFonts w:hint="eastAsia" w:ascii="CESI仿宋-GB2312" w:hAnsi="CESI仿宋-GB2312" w:eastAsia="CESI仿宋-GB2312" w:cs="CESI仿宋-GB2312"/>
          <w:w w:val="100"/>
          <w:sz w:val="32"/>
          <w:szCs w:val="32"/>
        </w:rPr>
        <w:t>住所（住址）：</w:t>
      </w:r>
      <w:r>
        <w:rPr>
          <w:rFonts w:hint="eastAsia" w:ascii="CESI仿宋-GB2312" w:hAnsi="CESI仿宋-GB2312" w:eastAsia="CESI仿宋-GB2312" w:cs="CESI仿宋-GB2312"/>
          <w:snapToGrid w:val="0"/>
          <w:sz w:val="32"/>
          <w:szCs w:val="32"/>
          <w:lang w:val="en-US" w:eastAsia="zh-CN"/>
        </w:rPr>
        <w:t>福建省泉州市惠安县涂寨镇学兴路83号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outlineLvl w:val="9"/>
        <w:rPr>
          <w:rFonts w:hint="eastAsia" w:ascii="CESI仿宋-GB2312" w:hAnsi="CESI仿宋-GB2312" w:eastAsia="CESI仿宋-GB2312" w:cs="CESI仿宋-GB2312"/>
          <w:w w:val="100"/>
          <w:sz w:val="32"/>
          <w:szCs w:val="32"/>
        </w:rPr>
      </w:pPr>
      <w:r>
        <w:rPr>
          <w:rFonts w:hint="eastAsia" w:ascii="CESI仿宋-GB2312" w:hAnsi="CESI仿宋-GB2312" w:eastAsia="CESI仿宋-GB2312" w:cs="CESI仿宋-GB2312"/>
          <w:snapToGrid w:val="0"/>
          <w:sz w:val="32"/>
          <w:szCs w:val="32"/>
          <w:lang w:val="en-US" w:eastAsia="zh-CN"/>
        </w:rPr>
        <w:t>经营者：卢桂彬</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outlineLvl w:val="9"/>
        <w:rPr>
          <w:rFonts w:hint="default" w:ascii="CESI仿宋-GB2312" w:hAnsi="CESI仿宋-GB2312" w:eastAsia="CESI仿宋-GB2312" w:cs="CESI仿宋-GB2312"/>
          <w:w w:val="100"/>
          <w:sz w:val="32"/>
          <w:szCs w:val="32"/>
          <w:lang w:val="en-US"/>
        </w:rPr>
      </w:pPr>
      <w:r>
        <w:rPr>
          <w:rFonts w:hint="eastAsia" w:ascii="CESI仿宋-GB2312" w:hAnsi="CESI仿宋-GB2312" w:eastAsia="CESI仿宋-GB2312" w:cs="CESI仿宋-GB2312"/>
          <w:w w:val="100"/>
          <w:sz w:val="32"/>
          <w:szCs w:val="32"/>
        </w:rPr>
        <w:t>身份证件号码：</w:t>
      </w:r>
      <w:r>
        <w:rPr>
          <w:rFonts w:hint="eastAsia" w:ascii="CESI仿宋-GB2312" w:hAnsi="CESI仿宋-GB2312" w:eastAsia="CESI仿宋-GB2312" w:cs="CESI仿宋-GB2312"/>
          <w:snapToGrid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640" w:firstLineChars="200"/>
        <w:jc w:val="both"/>
        <w:textAlignment w:val="baseline"/>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napToGrid w:val="0"/>
          <w:sz w:val="32"/>
          <w:szCs w:val="32"/>
          <w:lang w:val="en-US" w:eastAsia="zh-CN"/>
        </w:rPr>
        <w:t>2023年10月9日，本局收到惠安县公安局《关于惠安县涂寨镇亿宾牛肉馆经营者张彩红的审查情况说明》，材料显示当事人涉嫌销售以假充真的牛肉羹，且无法证实当事人涉嫌销售伪劣产品罪。</w:t>
      </w:r>
    </w:p>
    <w:p>
      <w:pPr>
        <w:keepNext w:val="0"/>
        <w:keepLines w:val="0"/>
        <w:pageBreakBefore w:val="0"/>
        <w:wordWrap/>
        <w:overflowPunct/>
        <w:topLinePunct w:val="0"/>
        <w:autoSpaceDE w:val="0"/>
        <w:autoSpaceDN w:val="0"/>
        <w:bidi w:val="0"/>
        <w:adjustRightInd w:val="0"/>
        <w:snapToGrid w:val="0"/>
        <w:spacing w:line="240" w:lineRule="auto"/>
        <w:textAlignment w:val="baseline"/>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snapToGrid w:val="0"/>
          <w:sz w:val="32"/>
          <w:szCs w:val="32"/>
          <w:lang w:val="en-US" w:eastAsia="zh-CN"/>
        </w:rPr>
        <w:t xml:space="preserve">    经初步核查，当事人经营以假充真的牛肉羹的行为，涉嫌违反《侵害消费者权益行为处罚办法》第五条第七项的规定，10月9日，本局以</w:t>
      </w:r>
      <w:r>
        <w:rPr>
          <w:rFonts w:hint="eastAsia" w:ascii="CESI仿宋-GB2312" w:hAnsi="CESI仿宋-GB2312" w:eastAsia="CESI仿宋-GB2312" w:cs="CESI仿宋-GB2312"/>
          <w:snapToGrid w:val="0"/>
          <w:sz w:val="32"/>
          <w:szCs w:val="32"/>
        </w:rPr>
        <w:t>涉嫌销售以假充真的</w:t>
      </w:r>
      <w:r>
        <w:rPr>
          <w:rFonts w:hint="eastAsia" w:ascii="CESI仿宋-GB2312" w:hAnsi="CESI仿宋-GB2312" w:eastAsia="CESI仿宋-GB2312" w:cs="CESI仿宋-GB2312"/>
          <w:snapToGrid w:val="0"/>
          <w:sz w:val="32"/>
          <w:szCs w:val="32"/>
          <w:lang w:eastAsia="zh-CN"/>
        </w:rPr>
        <w:t>商品为案由对当事人立案调查。</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640" w:firstLineChars="200"/>
        <w:jc w:val="both"/>
        <w:textAlignment w:val="baseline"/>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z w:val="32"/>
          <w:szCs w:val="32"/>
        </w:rPr>
        <w:t>经查，</w:t>
      </w:r>
      <w:r>
        <w:rPr>
          <w:rFonts w:hint="eastAsia" w:ascii="CESI仿宋-GB2312" w:hAnsi="CESI仿宋-GB2312" w:eastAsia="CESI仿宋-GB2312" w:cs="CESI仿宋-GB2312"/>
          <w:snapToGrid w:val="0"/>
          <w:sz w:val="32"/>
          <w:szCs w:val="32"/>
          <w:lang w:val="en-US" w:eastAsia="zh-CN"/>
        </w:rPr>
        <w:t>1.当事人系一家个体户类型的餐饮店，主营业务为牛肉羹汤等牛肉制品，持有营业执照和食品经营许可证，案发时正常开展营业。</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640"/>
        <w:jc w:val="both"/>
        <w:textAlignment w:val="baseline"/>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napToGrid w:val="0"/>
          <w:sz w:val="32"/>
          <w:szCs w:val="32"/>
          <w:lang w:val="en-US" w:eastAsia="zh-CN"/>
        </w:rPr>
        <w:t>2.根据公安移送材料显示，当事人经营的牛肉羹经检验，检出了牛源性成分、猪源性成分、鸭源性成分。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640" w:firstLineChars="200"/>
        <w:jc w:val="both"/>
        <w:textAlignment w:val="baseline"/>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napToGrid w:val="0"/>
          <w:sz w:val="32"/>
          <w:szCs w:val="32"/>
          <w:lang w:val="en-US" w:eastAsia="zh-CN"/>
        </w:rPr>
        <w:t>3.根据公安移送材料显示，当事人经营的生牛肉羹主要成分为猪肉，并未添加牛肉，涉案生牛肉羹系以假充真的商品，当事人购进该生牛肉羹起至案发期间，生牛肉羹配方一直未发生改变。当事人从2022年1月份起购进涉案生牛肉羹，共购进1925斤，购进金额21175元，其中1905斤制售成牛肉羹汤进行销售，20斤生牛肉羹按35元/斤的价格进行销售，总销售额95250元，根据《工商行政管理机关行政处罚案件违法所得认定办法》第二条的规定，当事人的违法所得为74075元。</w:t>
      </w:r>
    </w:p>
    <w:p>
      <w:pPr>
        <w:keepNext w:val="0"/>
        <w:keepLines w:val="0"/>
        <w:pageBreakBefore w:val="0"/>
        <w:wordWrap/>
        <w:overflowPunct/>
        <w:topLinePunct w:val="0"/>
        <w:autoSpaceDE w:val="0"/>
        <w:autoSpaceDN w:val="0"/>
        <w:bidi w:val="0"/>
        <w:adjustRightInd w:val="0"/>
        <w:snapToGrid w:val="0"/>
        <w:spacing w:line="240" w:lineRule="auto"/>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snapToGrid w:val="0"/>
          <w:sz w:val="32"/>
          <w:szCs w:val="32"/>
          <w:lang w:val="en-US" w:eastAsia="zh-CN"/>
        </w:rPr>
        <w:t xml:space="preserve">    4.当事人虽然不知上述生牛肉羹为猪肉制作，未添加牛肉，但其购进时未查验供货商票据材料，未履行作为食品经营者应尽的进货查验义务。</w:t>
      </w:r>
      <w:r>
        <w:rPr>
          <w:rFonts w:hint="eastAsia" w:ascii="CESI仿宋-GB2312" w:hAnsi="CESI仿宋-GB2312" w:eastAsia="CESI仿宋-GB2312" w:cs="CESI仿宋-GB2312"/>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640" w:firstLineChars="200"/>
        <w:textAlignment w:val="baseline"/>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z w:val="32"/>
          <w:szCs w:val="32"/>
        </w:rPr>
        <w:t>上述事实，主要有以下证据证明：</w:t>
      </w:r>
      <w:r>
        <w:rPr>
          <w:rFonts w:hint="eastAsia" w:ascii="CESI仿宋-GB2312" w:hAnsi="CESI仿宋-GB2312" w:eastAsia="CESI仿宋-GB2312" w:cs="CESI仿宋-GB2312"/>
          <w:snapToGrid w:val="0"/>
          <w:sz w:val="32"/>
          <w:szCs w:val="32"/>
          <w:lang w:eastAsia="zh-CN"/>
        </w:rPr>
        <w:t>移送清单及其附件材料一份；县公安局所作询问笔录复印件两份；关于惠安县涂寨镇亿宾牛肉馆经营者张彩红的审查情况说明一份；授权委托书一份等材料。</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58"/>
        <w:textAlignment w:val="baseline"/>
        <w:rPr>
          <w:rFonts w:hint="eastAsia" w:ascii="CESI仿宋-GB2312" w:hAnsi="CESI仿宋-GB2312" w:eastAsia="CESI仿宋-GB2312" w:cs="CESI仿宋-GB2312"/>
          <w:sz w:val="32"/>
          <w:szCs w:val="32"/>
        </w:rPr>
      </w:pPr>
      <w:r>
        <w:rPr>
          <w:rFonts w:hint="eastAsia" w:ascii="CESI仿宋-GB2312" w:hAnsi="CESI仿宋-GB2312" w:eastAsia="CESI仿宋-GB2312" w:cs="CESI仿宋-GB2312"/>
          <w:snapToGrid w:val="0"/>
          <w:sz w:val="32"/>
          <w:szCs w:val="32"/>
          <w:u w:val="none"/>
          <w:lang w:val="en-US" w:eastAsia="zh-CN"/>
        </w:rPr>
        <w:t>2024年1月9日，本局依法向当事人送达《行政处罚听证告知书》[惠市监（队）听告〔2024〕2号]，当事人在法定期限内未提出陈述、申辩，也未要求举行听证。</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640" w:firstLineChars="200"/>
        <w:jc w:val="both"/>
        <w:textAlignment w:val="baseline"/>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z w:val="32"/>
          <w:szCs w:val="32"/>
        </w:rPr>
        <w:t>本局认为，</w:t>
      </w:r>
      <w:r>
        <w:rPr>
          <w:rFonts w:hint="eastAsia" w:ascii="CESI仿宋-GB2312" w:hAnsi="CESI仿宋-GB2312" w:eastAsia="CESI仿宋-GB2312" w:cs="CESI仿宋-GB2312"/>
          <w:snapToGrid w:val="0"/>
          <w:sz w:val="32"/>
          <w:szCs w:val="32"/>
          <w:lang w:val="en-US" w:eastAsia="zh-CN"/>
        </w:rPr>
        <w:t>涉案牛肉羹的主要成分为猪肉，并未添加牛肉，属于以假充真的商品，当事人销售上述牛肉羹的行为，虽非主观上有欺诈消费者的故意，但客观上使消费者误以为购买的牛肉羹由纯牛肉制作，不含其它肉类，侵犯了消费者知情权。上述行为违反了《侵害消费者权益行为处罚办法》第五条第（七）项的规定，构成了销售以假充真的商品的违法行为。</w:t>
      </w:r>
    </w:p>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baseline"/>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napToGrid w:val="0"/>
          <w:sz w:val="32"/>
          <w:szCs w:val="32"/>
          <w:lang w:val="en-US" w:eastAsia="zh-CN"/>
        </w:rPr>
        <w:t xml:space="preserve">    当事人采购上述生牛肉羹时，未查验供货商证照材料和食品合格证明材料，违反了《中华人民共和国食品安全法》第五十三条第一款的规定，构成了食品经营者未履行进货查验义务的违法行为。</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640" w:firstLineChars="200"/>
        <w:jc w:val="both"/>
        <w:textAlignment w:val="baseline"/>
        <w:rPr>
          <w:rFonts w:hint="eastAsia" w:ascii="CESI仿宋-GB2312" w:hAnsi="CESI仿宋-GB2312" w:eastAsia="CESI仿宋-GB2312" w:cs="CESI仿宋-GB2312"/>
          <w:snapToGrid w:val="0"/>
          <w:sz w:val="32"/>
          <w:szCs w:val="32"/>
          <w:lang w:eastAsia="zh-CN"/>
        </w:rPr>
      </w:pPr>
      <w:r>
        <w:rPr>
          <w:rFonts w:hint="eastAsia" w:ascii="CESI仿宋-GB2312" w:hAnsi="CESI仿宋-GB2312" w:eastAsia="CESI仿宋-GB2312" w:cs="CESI仿宋-GB2312"/>
          <w:snapToGrid w:val="0"/>
          <w:sz w:val="32"/>
          <w:szCs w:val="32"/>
          <w:lang w:val="en-US" w:eastAsia="zh-CN"/>
        </w:rPr>
        <w:t>本局认为：</w:t>
      </w:r>
      <w:r>
        <w:rPr>
          <w:rFonts w:hint="eastAsia" w:ascii="CESI仿宋-GB2312" w:hAnsi="CESI仿宋-GB2312" w:eastAsia="CESI仿宋-GB2312" w:cs="CESI仿宋-GB2312"/>
          <w:snapToGrid w:val="0"/>
          <w:sz w:val="32"/>
          <w:szCs w:val="32"/>
          <w:lang w:eastAsia="zh-CN"/>
        </w:rPr>
        <w:t>第一，当事人销售的牛肉羹汤，虽为以假充真的商品，其主要原料为猪肉，非有毒有害的食品，消费者在食用后不会产生不良的危害后果，从风险性来看，涉案牛肉羹不会造成较大的社会风险和不良影响。第二，经查询本局案管系统，当事人系初次违法，案发后，当事人亦积极配合市场监管部门调查,如实陈述违法事实并主动提供证据材料。另外，在本案调查阶段，当事人已主动停止销售涉案的生牛肉羹。</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640" w:firstLineChars="200"/>
        <w:jc w:val="both"/>
        <w:textAlignment w:val="baseline"/>
        <w:rPr>
          <w:rFonts w:hint="eastAsia" w:ascii="CESI仿宋-GB2312" w:hAnsi="CESI仿宋-GB2312" w:eastAsia="CESI仿宋-GB2312" w:cs="CESI仿宋-GB2312"/>
          <w:snapToGrid w:val="0"/>
          <w:sz w:val="32"/>
          <w:szCs w:val="32"/>
          <w:lang w:eastAsia="zh-CN"/>
        </w:rPr>
      </w:pPr>
      <w:r>
        <w:rPr>
          <w:rFonts w:hint="eastAsia" w:ascii="CESI仿宋-GB2312" w:hAnsi="CESI仿宋-GB2312" w:eastAsia="CESI仿宋-GB2312" w:cs="CESI仿宋-GB2312"/>
          <w:snapToGrid w:val="0"/>
          <w:sz w:val="32"/>
          <w:szCs w:val="32"/>
          <w:lang w:eastAsia="zh-CN"/>
        </w:rPr>
        <w:t>综上，当事人存在从轻行政处罚的情形，根据《福建省市场监督管理行政处罚裁量权适用规则》第十一条的规定，本局依法对当事人予以从轻行政处罚。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40" w:firstLineChars="200"/>
        <w:jc w:val="both"/>
        <w:textAlignment w:val="baseline"/>
        <w:outlineLvl w:val="9"/>
        <w:rPr>
          <w:rFonts w:hint="eastAsia" w:ascii="CESI仿宋-GB2312" w:hAnsi="CESI仿宋-GB2312" w:eastAsia="CESI仿宋-GB2312" w:cs="CESI仿宋-GB2312"/>
          <w:snapToGrid w:val="0"/>
          <w:sz w:val="32"/>
          <w:szCs w:val="32"/>
          <w:lang w:val="en-US" w:eastAsia="zh-CN"/>
        </w:rPr>
      </w:pPr>
      <w:r>
        <w:rPr>
          <w:rFonts w:hint="eastAsia" w:ascii="CESI仿宋-GB2312" w:hAnsi="CESI仿宋-GB2312" w:eastAsia="CESI仿宋-GB2312" w:cs="CESI仿宋-GB2312"/>
          <w:sz w:val="32"/>
          <w:szCs w:val="32"/>
        </w:rPr>
        <w:t>综上，当事人上述行为违反了</w:t>
      </w:r>
      <w:r>
        <w:rPr>
          <w:rFonts w:hint="eastAsia" w:ascii="CESI仿宋-GB2312" w:hAnsi="CESI仿宋-GB2312" w:eastAsia="CESI仿宋-GB2312" w:cs="CESI仿宋-GB2312"/>
          <w:snapToGrid w:val="0"/>
          <w:sz w:val="32"/>
          <w:szCs w:val="32"/>
          <w:lang w:val="en-US" w:eastAsia="zh-CN"/>
        </w:rPr>
        <w:t>《侵害消费者权益行为处罚办法》第五条第（七）项、《中华人民共和国食品安全法》第五十三条第一款的规定</w:t>
      </w:r>
      <w:r>
        <w:rPr>
          <w:rFonts w:hint="eastAsia" w:ascii="CESI仿宋-GB2312" w:hAnsi="CESI仿宋-GB2312" w:eastAsia="CESI仿宋-GB2312" w:cs="CESI仿宋-GB2312"/>
          <w:sz w:val="32"/>
          <w:szCs w:val="32"/>
        </w:rPr>
        <w:t>，</w:t>
      </w:r>
      <w:bookmarkStart w:id="0" w:name="_GoBack"/>
      <w:r>
        <w:rPr>
          <w:rFonts w:hint="eastAsia" w:ascii="CESI仿宋-GB2312" w:hAnsi="CESI仿宋-GB2312" w:eastAsia="CESI仿宋-GB2312" w:cs="CESI仿宋-GB2312"/>
          <w:sz w:val="32"/>
          <w:szCs w:val="32"/>
        </w:rPr>
        <w:t>依据</w:t>
      </w:r>
      <w:r>
        <w:rPr>
          <w:rFonts w:hint="eastAsia" w:ascii="CESI仿宋-GB2312" w:hAnsi="CESI仿宋-GB2312" w:eastAsia="CESI仿宋-GB2312" w:cs="CESI仿宋-GB2312"/>
          <w:snapToGrid w:val="0"/>
          <w:sz w:val="32"/>
          <w:szCs w:val="32"/>
          <w:lang w:val="en-US" w:eastAsia="zh-CN"/>
        </w:rPr>
        <w:t>《侵害消费者权益行为处罚办法》第十四条、《中华人民共和国消费者权益保护法》第五十六条第一款第（二）项和《中华人民共和国食品安全法》第一百二十六条</w:t>
      </w:r>
      <w:r>
        <w:rPr>
          <w:rFonts w:hint="eastAsia" w:ascii="CESI仿宋-GB2312" w:hAnsi="CESI仿宋-GB2312" w:eastAsia="CESI仿宋-GB2312" w:cs="CESI仿宋-GB2312"/>
          <w:sz w:val="32"/>
          <w:szCs w:val="32"/>
          <w:u w:val="none"/>
          <w:lang w:eastAsia="zh-CN"/>
        </w:rPr>
        <w:t>的规定，</w:t>
      </w:r>
      <w:r>
        <w:rPr>
          <w:rFonts w:hint="eastAsia" w:ascii="CESI仿宋-GB2312" w:hAnsi="CESI仿宋-GB2312" w:eastAsia="CESI仿宋-GB2312" w:cs="CESI仿宋-GB2312"/>
          <w:sz w:val="32"/>
          <w:szCs w:val="32"/>
        </w:rPr>
        <w:t>决定处罚如下：</w:t>
      </w:r>
      <w:r>
        <w:rPr>
          <w:rFonts w:hint="eastAsia" w:ascii="CESI仿宋-GB2312" w:hAnsi="CESI仿宋-GB2312" w:eastAsia="CESI仿宋-GB2312" w:cs="CESI仿宋-GB2312"/>
          <w:snapToGrid w:val="0"/>
          <w:sz w:val="32"/>
          <w:szCs w:val="32"/>
          <w:lang w:val="en-US" w:eastAsia="zh-CN"/>
        </w:rPr>
        <w:t>责令当事人改正销售以假充真的牛肉羹和未履行进货查验义务的违法行为，警告，处罚款74075元。</w:t>
      </w:r>
    </w:p>
    <w:bookmarkEnd w:id="0"/>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40" w:firstLineChars="200"/>
        <w:jc w:val="both"/>
        <w:textAlignment w:val="baseline"/>
        <w:outlineLvl w:val="9"/>
        <w:rPr>
          <w:rFonts w:hint="eastAsia" w:ascii="CESI仿宋-GB2312" w:hAnsi="CESI仿宋-GB2312" w:eastAsia="CESI仿宋-GB2312" w:cs="CESI仿宋-GB2312"/>
          <w:color w:val="auto"/>
          <w:sz w:val="32"/>
          <w:szCs w:val="32"/>
          <w:lang w:val="en-US" w:eastAsia="zh-CN" w:bidi="ar-SA"/>
        </w:rPr>
      </w:pPr>
      <w:r>
        <w:rPr>
          <w:rFonts w:hint="eastAsia" w:ascii="CESI仿宋-GB2312" w:hAnsi="CESI仿宋-GB2312" w:eastAsia="CESI仿宋-GB2312" w:cs="CESI仿宋-GB2312"/>
          <w:color w:val="auto"/>
          <w:sz w:val="32"/>
          <w:szCs w:val="32"/>
          <w:lang w:val="en-US" w:eastAsia="zh-CN" w:bidi="ar-SA"/>
        </w:rPr>
        <w:t>所处罚款，当事人应当在接到本行政处罚决定书之日起十五日内（末日为节假日顺延），到本局市场监管综合执法大队办公室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4"/>
        <w:keepNext w:val="0"/>
        <w:keepLines w:val="0"/>
        <w:pageBreakBefore w:val="0"/>
        <w:widowControl/>
        <w:tabs>
          <w:tab w:val="left" w:pos="8270"/>
        </w:tabs>
        <w:kinsoku w:val="0"/>
        <w:wordWrap/>
        <w:overflowPunct/>
        <w:topLinePunct w:val="0"/>
        <w:autoSpaceDE w:val="0"/>
        <w:autoSpaceDN w:val="0"/>
        <w:bidi w:val="0"/>
        <w:adjustRightInd w:val="0"/>
        <w:snapToGrid w:val="0"/>
        <w:spacing w:line="240" w:lineRule="auto"/>
        <w:ind w:left="0" w:firstLine="640" w:firstLineChars="200"/>
        <w:textAlignment w:val="baseline"/>
        <w:outlineLvl w:val="9"/>
        <w:rPr>
          <w:rFonts w:hint="eastAsia" w:ascii="CESI仿宋-GB2312" w:hAnsi="CESI仿宋-GB2312" w:eastAsia="CESI仿宋-GB2312" w:cs="CESI仿宋-GB2312"/>
          <w:color w:val="auto"/>
        </w:rPr>
      </w:pPr>
      <w:r>
        <w:rPr>
          <w:rFonts w:hint="eastAsia" w:ascii="CESI仿宋-GB2312" w:hAnsi="CESI仿宋-GB2312" w:eastAsia="CESI仿宋-GB2312" w:cs="CESI仿宋-GB2312"/>
          <w:color w:val="auto"/>
        </w:rPr>
        <w:t>如对本行政处罚决定不服，可于收到本决定书之日起六十日内向惠安县人民政府申请复议，也可以于六个月内依法向</w:t>
      </w:r>
      <w:r>
        <w:rPr>
          <w:rFonts w:hint="eastAsia" w:ascii="CESI仿宋-GB2312" w:hAnsi="CESI仿宋-GB2312" w:eastAsia="CESI仿宋-GB2312" w:cs="CESI仿宋-GB2312"/>
          <w:color w:val="auto"/>
          <w:lang w:eastAsia="zh-CN"/>
        </w:rPr>
        <w:t>鲤城区</w:t>
      </w:r>
      <w:r>
        <w:rPr>
          <w:rFonts w:hint="eastAsia" w:ascii="CESI仿宋-GB2312" w:hAnsi="CESI仿宋-GB2312" w:eastAsia="CESI仿宋-GB2312" w:cs="CESI仿宋-GB2312"/>
          <w:color w:val="auto"/>
        </w:rPr>
        <w:t>人民法院提起行政诉讼。前述期间，本行政处罚不停止执行。</w:t>
      </w:r>
    </w:p>
    <w:p>
      <w:pPr>
        <w:spacing w:line="520" w:lineRule="exact"/>
        <w:rPr>
          <w:rFonts w:hint="eastAsia" w:ascii="CESI仿宋-GB2312" w:hAnsi="CESI仿宋-GB2312" w:eastAsia="CESI仿宋-GB2312" w:cs="CESI仿宋-GB2312"/>
          <w:sz w:val="32"/>
          <w:szCs w:val="32"/>
        </w:rPr>
      </w:pPr>
    </w:p>
    <w:p>
      <w:pPr>
        <w:spacing w:line="520" w:lineRule="exact"/>
        <w:rPr>
          <w:rFonts w:hint="eastAsia" w:ascii="CESI仿宋-GB2312" w:hAnsi="CESI仿宋-GB2312" w:eastAsia="CESI仿宋-GB2312" w:cs="CESI仿宋-GB2312"/>
          <w:sz w:val="32"/>
          <w:szCs w:val="32"/>
        </w:rPr>
      </w:pPr>
    </w:p>
    <w:p>
      <w:pPr>
        <w:spacing w:before="242" w:line="520" w:lineRule="exact"/>
        <w:ind w:firstLine="4480" w:firstLineChars="1400"/>
        <w:rPr>
          <w:rFonts w:hint="eastAsia" w:ascii="CESI仿宋-GB2312" w:hAnsi="CESI仿宋-GB2312" w:eastAsia="CESI仿宋-GB2312" w:cs="CESI仿宋-GB2312"/>
          <w:snapToGrid w:val="0"/>
          <w:sz w:val="32"/>
          <w:szCs w:val="32"/>
        </w:rPr>
      </w:pPr>
      <w:r>
        <w:rPr>
          <w:rFonts w:hint="eastAsia" w:ascii="CESI仿宋-GB2312" w:hAnsi="CESI仿宋-GB2312" w:eastAsia="CESI仿宋-GB2312" w:cs="CESI仿宋-GB2312"/>
          <w:snapToGrid w:val="0"/>
          <w:sz w:val="32"/>
          <w:szCs w:val="32"/>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120" w:firstLineChars="1600"/>
        <w:textAlignment w:val="baseline"/>
        <w:outlineLvl w:val="9"/>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2024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18</w:t>
      </w:r>
      <w:r>
        <w:rPr>
          <w:rFonts w:hint="eastAsia" w:ascii="CESI仿宋-GB2312" w:hAnsi="CESI仿宋-GB2312" w:eastAsia="CESI仿宋-GB2312" w:cs="CESI仿宋-GB2312"/>
          <w:sz w:val="32"/>
          <w:szCs w:val="32"/>
        </w:rPr>
        <w:t>日</w:t>
      </w:r>
    </w:p>
    <w:p>
      <w:pPr>
        <w:spacing w:before="105" w:line="520" w:lineRule="exact"/>
        <w:rPr>
          <w:rFonts w:ascii="仿宋_GB2312" w:hAnsi="仿宋_GB2312" w:eastAsia="仿宋_GB2312" w:cs="仿宋_GB2312"/>
          <w:sz w:val="32"/>
          <w:szCs w:val="32"/>
          <w:u w:val="single"/>
        </w:rPr>
      </w:pPr>
      <w:r>
        <w:rPr>
          <w:rFonts w:hint="eastAsia" w:ascii="CESI仿宋-GB2312" w:hAnsi="CESI仿宋-GB2312" w:eastAsia="CESI仿宋-GB2312" w:cs="CESI仿宋-GB2312"/>
          <w:b/>
          <w:bCs/>
          <w:color w:val="231F20"/>
          <w:sz w:val="32"/>
          <w:szCs w:val="32"/>
        </w:rPr>
        <w:t>（市场监督管理部门将依法向社会公开行政处罚决定信息）</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页 共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NUMPAGES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第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页 共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NUMPAGES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0"/>
    <w:rsid w:val="000C42CD"/>
    <w:rsid w:val="00FA23D0"/>
    <w:rsid w:val="01A30210"/>
    <w:rsid w:val="03A87D6C"/>
    <w:rsid w:val="07036EDF"/>
    <w:rsid w:val="18A35176"/>
    <w:rsid w:val="26571601"/>
    <w:rsid w:val="279D6A9F"/>
    <w:rsid w:val="37422AC9"/>
    <w:rsid w:val="552B04DC"/>
    <w:rsid w:val="57807AB3"/>
    <w:rsid w:val="68127ABA"/>
    <w:rsid w:val="6A024939"/>
    <w:rsid w:val="71D011B6"/>
    <w:rsid w:val="7FDF8DAD"/>
    <w:rsid w:val="FF6F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color w:val="00000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99"/>
    <w:pPr>
      <w:spacing w:after="120" w:line="480" w:lineRule="auto"/>
      <w:ind w:left="420" w:leftChars="200"/>
    </w:pPr>
  </w:style>
  <w:style w:type="paragraph" w:styleId="3">
    <w:name w:val="index 6"/>
    <w:basedOn w:val="1"/>
    <w:next w:val="1"/>
    <w:qFormat/>
    <w:uiPriority w:val="99"/>
    <w:pPr>
      <w:ind w:left="2100"/>
    </w:pPr>
  </w:style>
  <w:style w:type="paragraph" w:styleId="4">
    <w:name w:val="Body Text"/>
    <w:basedOn w:val="1"/>
    <w:qFormat/>
    <w:uiPriority w:val="99"/>
    <w:pPr>
      <w:ind w:left="220"/>
    </w:pPr>
    <w:rPr>
      <w:rFonts w:ascii="宋体" w:hAnsi="宋体"/>
      <w:sz w:val="32"/>
      <w:szCs w:val="32"/>
    </w:r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1762</Words>
  <Characters>1843</Characters>
  <Lines>10</Lines>
  <Paragraphs>2</Paragraphs>
  <TotalTime>16</TotalTime>
  <ScaleCrop>false</ScaleCrop>
  <LinksUpToDate>false</LinksUpToDate>
  <CharactersWithSpaces>1866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庄云绵</cp:lastModifiedBy>
  <dcterms:modified xsi:type="dcterms:W3CDTF">2024-01-31T03:17:54Z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8BBE949D3B8C4712BB46C04F8EE0DCAB</vt:lpwstr>
  </property>
</Properties>
</file>