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bCs/>
          <w:color w:val="000000"/>
          <w:kern w:val="0"/>
          <w:sz w:val="44"/>
          <w:szCs w:val="44"/>
        </w:rPr>
        <w:t>小</w:t>
      </w:r>
      <w:r>
        <w:rPr>
          <w:rFonts w:hint="eastAsia" w:ascii="方正小标宋_GBK" w:hAnsi="方正小标宋_GBK" w:eastAsia="方正小标宋_GBK" w:cs="方正小标宋_GBK"/>
          <w:bCs/>
          <w:color w:val="000000"/>
          <w:kern w:val="0"/>
          <w:sz w:val="44"/>
          <w:szCs w:val="44"/>
        </w:rPr>
        <w:t>岞</w:t>
      </w:r>
      <w:r>
        <w:rPr>
          <w:rFonts w:hint="eastAsia" w:ascii="方正小标宋简体" w:hAnsi="方正小标宋简体" w:eastAsia="方正小标宋简体" w:cs="方正小标宋简体"/>
          <w:bCs/>
          <w:color w:val="000000"/>
          <w:kern w:val="0"/>
          <w:sz w:val="44"/>
          <w:szCs w:val="44"/>
        </w:rPr>
        <w:t>镇2020年政府信息公开工作年度报告</w:t>
      </w:r>
    </w:p>
    <w:p>
      <w:pPr>
        <w:pStyle w:val="4"/>
        <w:spacing w:before="0" w:beforeAutospacing="0" w:after="0" w:afterAutospacing="0" w:line="580" w:lineRule="exact"/>
        <w:jc w:val="both"/>
        <w:rPr>
          <w:rFonts w:ascii="黑体" w:hAnsi="黑体" w:eastAsia="黑体" w:cs="黑体"/>
          <w:bCs/>
          <w:color w:val="000000"/>
          <w:sz w:val="32"/>
          <w:szCs w:val="32"/>
        </w:rPr>
      </w:pPr>
      <w:r>
        <w:rPr>
          <w:rFonts w:hint="eastAsia" w:ascii="黑体" w:hAnsi="黑体" w:eastAsia="黑体" w:cs="黑体"/>
          <w:bCs/>
          <w:color w:val="000000"/>
          <w:sz w:val="32"/>
          <w:szCs w:val="32"/>
        </w:rPr>
        <w:t>一、总体情况</w:t>
      </w:r>
    </w:p>
    <w:p>
      <w:pPr>
        <w:keepNext w:val="0"/>
        <w:keepLines w:val="0"/>
        <w:widowControl/>
        <w:suppressLineNumbers w:val="0"/>
        <w:wordWrap w:val="0"/>
        <w:ind w:firstLine="640" w:firstLineChars="200"/>
        <w:jc w:val="left"/>
      </w:pPr>
      <w:bookmarkStart w:id="0" w:name="_GoBack"/>
      <w:bookmarkEnd w:id="0"/>
      <w:r>
        <w:rPr>
          <w:rFonts w:ascii="仿宋" w:hAnsi="仿宋" w:eastAsia="仿宋" w:cs="仿宋"/>
          <w:color w:val="000000"/>
          <w:kern w:val="0"/>
          <w:sz w:val="32"/>
          <w:szCs w:val="32"/>
          <w:lang w:val="en-US" w:eastAsia="zh-CN" w:bidi="ar"/>
        </w:rPr>
        <w:t>本年报根据《中华人民共和国政府信息公开条例》(以下简称《条例》)、《福建省政府信息公开办法》(以下简称《办法》)有关规定，由惠安县小岞镇人民政府党政办公室2020年度开展政府信息公开工作的情况编制而成。全文由总体情况、主动公开政府信息情况、收到和处理政府信息公开</w:t>
      </w:r>
      <w:r>
        <w:rPr>
          <w:rFonts w:ascii="仿宋_GB2312" w:hAnsi="宋体" w:eastAsia="仿宋_GB2312" w:cs="仿宋_GB2312"/>
          <w:color w:val="000000"/>
          <w:kern w:val="0"/>
          <w:sz w:val="32"/>
          <w:szCs w:val="32"/>
          <w:lang w:val="en-US" w:eastAsia="zh-CN" w:bidi="ar"/>
        </w:rPr>
        <w:t>申请</w:t>
      </w:r>
      <w:r>
        <w:rPr>
          <w:rFonts w:hint="eastAsia" w:ascii="仿宋_GB2312" w:hAnsi="宋体" w:eastAsia="仿宋_GB2312" w:cs="仿宋_GB2312"/>
          <w:color w:val="000000"/>
          <w:kern w:val="0"/>
          <w:sz w:val="32"/>
          <w:szCs w:val="32"/>
          <w:lang w:val="en-US" w:eastAsia="zh-CN" w:bidi="ar"/>
        </w:rPr>
        <w:t>情况、因政府信息公开被申请行政复议和提起行政诉讼情况、政府信息公开工作存在的主要问题及改进情况和其他需要报告事项等六部分内容组成，数据统计期限自2020年1月1日起至2020年12月31日止。本年报电子版可以在惠安县人民政府网站（</w:t>
      </w:r>
      <w:r>
        <w:rPr>
          <w:rFonts w:hint="eastAsia" w:ascii="仿宋_GB2312" w:hAnsi="宋体" w:eastAsia="仿宋_GB2312" w:cs="仿宋_GB2312"/>
          <w:kern w:val="0"/>
          <w:sz w:val="32"/>
          <w:szCs w:val="32"/>
          <w:lang w:val="en-US" w:eastAsia="zh-CN" w:bidi="ar"/>
        </w:rPr>
        <w:fldChar w:fldCharType="begin"/>
      </w:r>
      <w:r>
        <w:rPr>
          <w:rFonts w:hint="eastAsia" w:ascii="仿宋_GB2312" w:hAnsi="宋体" w:eastAsia="仿宋_GB2312" w:cs="仿宋_GB2312"/>
          <w:kern w:val="0"/>
          <w:sz w:val="32"/>
          <w:szCs w:val="32"/>
          <w:lang w:val="en-US" w:eastAsia="zh-CN" w:bidi="ar"/>
        </w:rPr>
        <w:instrText xml:space="preserve"> HYPERLINK "http://www.huian.gov.cn" </w:instrText>
      </w:r>
      <w:r>
        <w:rPr>
          <w:rFonts w:hint="eastAsia" w:ascii="仿宋_GB2312" w:hAnsi="宋体" w:eastAsia="仿宋_GB2312" w:cs="仿宋_GB2312"/>
          <w:kern w:val="0"/>
          <w:sz w:val="32"/>
          <w:szCs w:val="32"/>
          <w:lang w:val="en-US" w:eastAsia="zh-CN" w:bidi="ar"/>
        </w:rPr>
        <w:fldChar w:fldCharType="separate"/>
      </w:r>
      <w:r>
        <w:rPr>
          <w:rStyle w:val="8"/>
          <w:rFonts w:hint="eastAsia" w:ascii="仿宋_GB2312" w:hAnsi="宋体" w:eastAsia="仿宋_GB2312" w:cs="仿宋_GB2312"/>
          <w:sz w:val="32"/>
          <w:szCs w:val="32"/>
        </w:rPr>
        <w:t>http://www.huian.gov.cn</w:t>
      </w:r>
      <w:r>
        <w:rPr>
          <w:rFonts w:hint="eastAsia" w:ascii="仿宋_GB2312" w:hAnsi="宋体" w:eastAsia="仿宋_GB2312" w:cs="仿宋_GB2312"/>
          <w:kern w:val="0"/>
          <w:sz w:val="32"/>
          <w:szCs w:val="32"/>
          <w:lang w:val="en-US" w:eastAsia="zh-CN" w:bidi="ar"/>
        </w:rPr>
        <w:fldChar w:fldCharType="end"/>
      </w:r>
      <w:r>
        <w:rPr>
          <w:rFonts w:hint="eastAsia" w:ascii="仿宋_GB2312" w:hAnsi="宋体" w:eastAsia="仿宋_GB2312" w:cs="仿宋_GB2312"/>
          <w:color w:val="000000"/>
          <w:kern w:val="0"/>
          <w:sz w:val="32"/>
          <w:szCs w:val="32"/>
          <w:lang w:val="en-US" w:eastAsia="zh-CN" w:bidi="ar"/>
        </w:rPr>
        <w:t>）政府信息公开专栏中的年度报告子栏目下载。如有任何疑问，请与惠安县小岞镇人民政府党政办公室联系（地址：惠安县小岞镇岞兴街186号，邮编：362143，电话：87839017）。</w:t>
      </w:r>
    </w:p>
    <w:p>
      <w:pPr>
        <w:widowControl/>
        <w:spacing w:line="574" w:lineRule="exact"/>
        <w:ind w:firstLine="640"/>
        <w:jc w:val="left"/>
        <w:rPr>
          <w:rFonts w:ascii="宋体" w:hAnsi="宋体" w:eastAsia="宋体" w:cs="宋体"/>
          <w:kern w:val="0"/>
          <w:sz w:val="24"/>
        </w:rPr>
      </w:pPr>
      <w:r>
        <w:rPr>
          <w:rFonts w:hint="eastAsia" w:ascii="楷体_GB2312" w:hAnsi="宋体" w:eastAsia="楷体_GB2312" w:cs="宋体"/>
          <w:kern w:val="0"/>
          <w:sz w:val="32"/>
          <w:szCs w:val="32"/>
        </w:rPr>
        <w:t>（一）加强组织领导。</w:t>
      </w:r>
      <w:r>
        <w:rPr>
          <w:rFonts w:hint="eastAsia" w:ascii="仿宋_GB2312" w:hAnsi="宋体" w:eastAsia="仿宋_GB2312" w:cs="宋体"/>
          <w:kern w:val="0"/>
          <w:sz w:val="32"/>
          <w:szCs w:val="32"/>
        </w:rPr>
        <w:t>建立政府信息公开长效机制，做到领导、机构、人员“三到位”，进一步落实信息公开分管领导和专门工作人员，明确由党委秘书分管全镇政府信息公开工作，党政办公室为主管部门，配备1名工作人员，负责协调、推进全镇政府信息公开工作，具体负责信息公开的清理、汇总、审核、公布和受理申请等工作，确保政府信息公开工作有序开展。</w:t>
      </w:r>
    </w:p>
    <w:p>
      <w:pPr>
        <w:widowControl/>
        <w:spacing w:line="574" w:lineRule="exact"/>
        <w:ind w:firstLine="640"/>
        <w:jc w:val="left"/>
        <w:rPr>
          <w:rFonts w:ascii="宋体" w:hAnsi="宋体" w:eastAsia="宋体" w:cs="宋体"/>
          <w:kern w:val="0"/>
          <w:sz w:val="24"/>
        </w:rPr>
      </w:pPr>
      <w:r>
        <w:rPr>
          <w:rFonts w:hint="eastAsia" w:ascii="楷体_GB2312" w:hAnsi="宋体" w:eastAsia="楷体_GB2312" w:cs="宋体"/>
          <w:kern w:val="0"/>
          <w:sz w:val="32"/>
          <w:szCs w:val="32"/>
        </w:rPr>
        <w:t>（二）健全完善机制。</w:t>
      </w:r>
      <w:r>
        <w:rPr>
          <w:rFonts w:hint="eastAsia" w:ascii="仿宋_GB2312" w:hAnsi="宋体" w:eastAsia="仿宋_GB2312" w:cs="宋体"/>
          <w:kern w:val="0"/>
          <w:sz w:val="32"/>
          <w:szCs w:val="32"/>
        </w:rPr>
        <w:t>根据《条例》和《政务公开工作主要任务分解表》要求，结合我镇工作实际，逐步建立健全政府信息公开工作制度,明确政府信息公开的申请、受理、审查、处理、答复等各个环节的具体要求，确保人员到位、措施到位、责任到位。建立政府信息公开的保密审查制度，明确职责分工，制定审查程序和责任追究办法，确保不发生泄密问题。</w:t>
      </w:r>
    </w:p>
    <w:p>
      <w:pPr>
        <w:widowControl/>
        <w:spacing w:line="574" w:lineRule="exact"/>
        <w:ind w:firstLine="640"/>
        <w:jc w:val="left"/>
        <w:rPr>
          <w:rFonts w:ascii="宋体" w:hAnsi="宋体" w:eastAsia="宋体" w:cs="宋体"/>
          <w:kern w:val="0"/>
          <w:sz w:val="24"/>
        </w:rPr>
      </w:pPr>
      <w:r>
        <w:rPr>
          <w:rFonts w:hint="eastAsia" w:ascii="楷体_GB2312" w:hAnsi="宋体" w:eastAsia="楷体_GB2312" w:cs="宋体"/>
          <w:kern w:val="0"/>
          <w:sz w:val="32"/>
          <w:szCs w:val="32"/>
        </w:rPr>
        <w:t>（三）梳理完善信息。</w:t>
      </w:r>
      <w:r>
        <w:rPr>
          <w:rFonts w:hint="eastAsia" w:ascii="仿宋_GB2312" w:hAnsi="宋体" w:eastAsia="仿宋_GB2312" w:cs="宋体"/>
          <w:kern w:val="0"/>
          <w:sz w:val="32"/>
          <w:szCs w:val="32"/>
        </w:rPr>
        <w:t>认真对拟进行公开的政府信息由近及远开展梳理，分阶段逐步明确政府信息的公开属性，按照主动公开、依申请公开、不予公开的政府信息分类要求，坚持以主动公开为原则，不公开为例外，精心编制目录、索引号编码，不断完善和改进政府信息公开的结构和内容。</w:t>
      </w:r>
    </w:p>
    <w:p>
      <w:pPr>
        <w:widowControl/>
        <w:spacing w:line="574" w:lineRule="exact"/>
        <w:ind w:firstLine="640"/>
        <w:jc w:val="left"/>
        <w:rPr>
          <w:rFonts w:ascii="仿宋_GB2312" w:hAnsi="宋体" w:eastAsia="仿宋_GB2312" w:cs="宋体"/>
          <w:kern w:val="0"/>
          <w:sz w:val="32"/>
          <w:szCs w:val="32"/>
        </w:rPr>
      </w:pPr>
    </w:p>
    <w:p>
      <w:pPr>
        <w:pStyle w:val="4"/>
        <w:spacing w:before="0" w:beforeAutospacing="0" w:after="0" w:afterAutospacing="0" w:line="580" w:lineRule="exact"/>
        <w:jc w:val="both"/>
        <w:rPr>
          <w:rFonts w:ascii="黑体" w:hAnsi="黑体" w:eastAsia="黑体" w:cs="黑体"/>
          <w:bCs/>
          <w:color w:val="000000"/>
          <w:sz w:val="32"/>
          <w:szCs w:val="32"/>
        </w:rPr>
      </w:pPr>
      <w:r>
        <w:rPr>
          <w:rFonts w:hint="eastAsia" w:ascii="黑体" w:hAnsi="黑体" w:eastAsia="黑体" w:cs="黑体"/>
          <w:bCs/>
          <w:color w:val="000000"/>
          <w:sz w:val="32"/>
          <w:szCs w:val="32"/>
        </w:rPr>
        <w:t>二、主动公开政府信息情况</w:t>
      </w:r>
    </w:p>
    <w:p>
      <w:pPr>
        <w:pStyle w:val="4"/>
        <w:spacing w:before="0" w:beforeAutospacing="0" w:after="0" w:afterAutospacing="0" w:line="580" w:lineRule="exact"/>
        <w:jc w:val="both"/>
        <w:rPr>
          <w:rFonts w:ascii="Times New Roman" w:hAnsi="Times New Roman" w:eastAsia="方正黑体简体" w:cs="Times New Roman"/>
          <w:b/>
          <w:bCs/>
          <w:color w:val="000000"/>
          <w:sz w:val="28"/>
          <w:szCs w:val="28"/>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85"/>
        <w:gridCol w:w="1559"/>
        <w:gridCol w:w="1747"/>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gridSpan w:val="4"/>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第二十条第（一）项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4" w:hRule="atLeast"/>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信息内容</w:t>
            </w:r>
          </w:p>
        </w:tc>
        <w:tc>
          <w:tcPr>
            <w:tcW w:w="1559"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本年新</w:t>
            </w:r>
            <w:r>
              <w:rPr>
                <w:rFonts w:ascii="Times New Roman" w:hAnsi="Times New Roman" w:eastAsia="方正仿宋简体" w:cs="Times New Roman"/>
                <w:color w:val="000000"/>
                <w:sz w:val="28"/>
                <w:szCs w:val="28"/>
              </w:rPr>
              <w:br w:type="textWrapping"/>
            </w:r>
            <w:r>
              <w:rPr>
                <w:rFonts w:ascii="Times New Roman" w:hAnsi="Times New Roman" w:eastAsia="方正仿宋简体" w:cs="Times New Roman"/>
                <w:color w:val="000000"/>
                <w:sz w:val="28"/>
                <w:szCs w:val="28"/>
              </w:rPr>
              <w:t>制作数量</w:t>
            </w:r>
          </w:p>
        </w:tc>
        <w:tc>
          <w:tcPr>
            <w:tcW w:w="1747"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本年新</w:t>
            </w:r>
            <w:r>
              <w:rPr>
                <w:rFonts w:ascii="Times New Roman" w:hAnsi="Times New Roman" w:eastAsia="方正仿宋简体" w:cs="Times New Roman"/>
                <w:color w:val="000000"/>
                <w:sz w:val="28"/>
                <w:szCs w:val="28"/>
              </w:rPr>
              <w:br w:type="textWrapping"/>
            </w:r>
            <w:r>
              <w:rPr>
                <w:rFonts w:ascii="Times New Roman" w:hAnsi="Times New Roman" w:eastAsia="方正仿宋简体" w:cs="Times New Roman"/>
                <w:color w:val="000000"/>
                <w:sz w:val="28"/>
                <w:szCs w:val="28"/>
              </w:rPr>
              <w:t>公开数量</w:t>
            </w:r>
          </w:p>
        </w:tc>
        <w:tc>
          <w:tcPr>
            <w:tcW w:w="2131"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对外公开总数量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规章</w:t>
            </w:r>
          </w:p>
        </w:tc>
        <w:tc>
          <w:tcPr>
            <w:tcW w:w="1559"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c>
          <w:tcPr>
            <w:tcW w:w="1747"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c>
          <w:tcPr>
            <w:tcW w:w="2131"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规范性文件</w:t>
            </w:r>
          </w:p>
        </w:tc>
        <w:tc>
          <w:tcPr>
            <w:tcW w:w="1559"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c>
          <w:tcPr>
            <w:tcW w:w="1747"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c>
          <w:tcPr>
            <w:tcW w:w="2131"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gridSpan w:val="4"/>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第二十条第（五）项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ind w:firstLine="840" w:firstLineChars="300"/>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信息内容</w:t>
            </w:r>
          </w:p>
        </w:tc>
        <w:tc>
          <w:tcPr>
            <w:tcW w:w="1559"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上一年项目数量</w:t>
            </w:r>
          </w:p>
        </w:tc>
        <w:tc>
          <w:tcPr>
            <w:tcW w:w="1747"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本年增/减</w:t>
            </w:r>
          </w:p>
        </w:tc>
        <w:tc>
          <w:tcPr>
            <w:tcW w:w="2131"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处理决定数量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行政许可</w:t>
            </w:r>
          </w:p>
        </w:tc>
        <w:tc>
          <w:tcPr>
            <w:tcW w:w="1559"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c>
          <w:tcPr>
            <w:tcW w:w="1747"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c>
          <w:tcPr>
            <w:tcW w:w="2131"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其他对外管理服务事项</w:t>
            </w:r>
          </w:p>
        </w:tc>
        <w:tc>
          <w:tcPr>
            <w:tcW w:w="1559"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c>
          <w:tcPr>
            <w:tcW w:w="1747"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c>
          <w:tcPr>
            <w:tcW w:w="2131"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gridSpan w:val="4"/>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第二十条第（六）项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8" w:hRule="atLeast"/>
          <w:jc w:val="center"/>
        </w:trPr>
        <w:tc>
          <w:tcPr>
            <w:tcW w:w="3085" w:type="dxa"/>
            <w:vAlign w:val="center"/>
          </w:tcPr>
          <w:p>
            <w:pPr>
              <w:pStyle w:val="4"/>
              <w:spacing w:before="0" w:beforeAutospacing="0" w:after="0" w:afterAutospacing="0" w:line="580" w:lineRule="exact"/>
              <w:ind w:firstLine="840" w:firstLineChars="300"/>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信息内容</w:t>
            </w:r>
          </w:p>
        </w:tc>
        <w:tc>
          <w:tcPr>
            <w:tcW w:w="1559"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上一年项目数量</w:t>
            </w:r>
          </w:p>
        </w:tc>
        <w:tc>
          <w:tcPr>
            <w:tcW w:w="1747"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本年增/减</w:t>
            </w:r>
          </w:p>
        </w:tc>
        <w:tc>
          <w:tcPr>
            <w:tcW w:w="2131"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处理决定数量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行政处罚</w:t>
            </w:r>
          </w:p>
        </w:tc>
        <w:tc>
          <w:tcPr>
            <w:tcW w:w="1559"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c>
          <w:tcPr>
            <w:tcW w:w="1747"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c>
          <w:tcPr>
            <w:tcW w:w="2131"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行政强制</w:t>
            </w:r>
          </w:p>
        </w:tc>
        <w:tc>
          <w:tcPr>
            <w:tcW w:w="1559"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c>
          <w:tcPr>
            <w:tcW w:w="1747"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c>
          <w:tcPr>
            <w:tcW w:w="2131"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gridSpan w:val="4"/>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第二十条第（八）项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信息内容</w:t>
            </w:r>
          </w:p>
        </w:tc>
        <w:tc>
          <w:tcPr>
            <w:tcW w:w="1559"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上一年项目数量</w:t>
            </w:r>
          </w:p>
        </w:tc>
        <w:tc>
          <w:tcPr>
            <w:tcW w:w="3878" w:type="dxa"/>
            <w:gridSpan w:val="2"/>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本年增/减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行政事业性收费</w:t>
            </w:r>
          </w:p>
        </w:tc>
        <w:tc>
          <w:tcPr>
            <w:tcW w:w="1559" w:type="dxa"/>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c>
          <w:tcPr>
            <w:tcW w:w="3878" w:type="dxa"/>
            <w:gridSpan w:val="2"/>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gridSpan w:val="4"/>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第二十条第（九）项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信息内容</w:t>
            </w:r>
          </w:p>
        </w:tc>
        <w:tc>
          <w:tcPr>
            <w:tcW w:w="1559" w:type="dxa"/>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采购项目数量</w:t>
            </w:r>
          </w:p>
        </w:tc>
        <w:tc>
          <w:tcPr>
            <w:tcW w:w="3878" w:type="dxa"/>
            <w:gridSpan w:val="2"/>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ascii="Times New Roman" w:hAnsi="Times New Roman" w:eastAsia="方正仿宋简体" w:cs="Times New Roman"/>
                <w:color w:val="000000"/>
                <w:sz w:val="28"/>
                <w:szCs w:val="28"/>
              </w:rPr>
              <w:t>采购总金额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85" w:type="dxa"/>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政府集中采购</w:t>
            </w:r>
          </w:p>
        </w:tc>
        <w:tc>
          <w:tcPr>
            <w:tcW w:w="1559" w:type="dxa"/>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878" w:type="dxa"/>
            <w:gridSpan w:val="2"/>
            <w:vAlign w:val="center"/>
          </w:tcPr>
          <w:p>
            <w:pPr>
              <w:pStyle w:val="4"/>
              <w:spacing w:before="0" w:beforeAutospacing="0" w:after="0" w:afterAutospacing="0" w:line="580" w:lineRule="exact"/>
              <w:jc w:val="center"/>
              <w:rPr>
                <w:rFonts w:ascii="Times New Roman" w:hAnsi="Times New Roman" w:eastAsia="方正黑体简体" w:cs="Times New Roman"/>
                <w:b/>
                <w:bCs/>
                <w:color w:val="000000"/>
                <w:sz w:val="28"/>
                <w:szCs w:val="28"/>
              </w:rPr>
            </w:pPr>
            <w:r>
              <w:rPr>
                <w:rFonts w:hint="eastAsia" w:ascii="Times New Roman" w:hAnsi="Times New Roman" w:eastAsia="方正黑体简体" w:cs="Times New Roman"/>
                <w:b/>
                <w:bCs/>
                <w:color w:val="000000"/>
                <w:sz w:val="28"/>
                <w:szCs w:val="28"/>
              </w:rPr>
              <w:t>0</w:t>
            </w:r>
          </w:p>
        </w:tc>
      </w:tr>
    </w:tbl>
    <w:p>
      <w:pPr>
        <w:pStyle w:val="4"/>
        <w:spacing w:before="0" w:beforeAutospacing="0" w:after="0" w:afterAutospacing="0" w:line="580" w:lineRule="exact"/>
        <w:jc w:val="both"/>
        <w:rPr>
          <w:rFonts w:ascii="Times New Roman" w:hAnsi="Times New Roman" w:eastAsia="方正黑体简体" w:cs="Times New Roman"/>
          <w:b/>
          <w:bCs/>
          <w:color w:val="000000"/>
          <w:sz w:val="28"/>
          <w:szCs w:val="28"/>
        </w:rPr>
      </w:pPr>
    </w:p>
    <w:p>
      <w:pPr>
        <w:pStyle w:val="4"/>
        <w:spacing w:before="0" w:beforeAutospacing="0" w:after="0" w:afterAutospacing="0" w:line="580" w:lineRule="exact"/>
        <w:jc w:val="both"/>
        <w:rPr>
          <w:rFonts w:ascii="黑体" w:hAnsi="黑体" w:eastAsia="黑体" w:cs="黑体"/>
          <w:bCs/>
          <w:color w:val="000000"/>
          <w:sz w:val="32"/>
          <w:szCs w:val="32"/>
        </w:rPr>
      </w:pPr>
      <w:r>
        <w:rPr>
          <w:rFonts w:hint="eastAsia" w:ascii="黑体" w:hAnsi="黑体" w:eastAsia="黑体" w:cs="黑体"/>
          <w:bCs/>
          <w:color w:val="000000"/>
          <w:sz w:val="32"/>
          <w:szCs w:val="32"/>
        </w:rPr>
        <w:t>三、收到和处理政府信息公开申请情况</w:t>
      </w:r>
    </w:p>
    <w:tbl>
      <w:tblPr>
        <w:tblStyle w:val="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24"/>
        <w:gridCol w:w="1129"/>
        <w:gridCol w:w="1895"/>
        <w:gridCol w:w="560"/>
        <w:gridCol w:w="632"/>
        <w:gridCol w:w="632"/>
        <w:gridCol w:w="779"/>
        <w:gridCol w:w="779"/>
        <w:gridCol w:w="496"/>
        <w:gridCol w:w="4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37" w:type="pct"/>
            <w:gridSpan w:val="3"/>
            <w:vMerge w:val="restar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（本列数据的勾稽关系为：第一项加第二项之和，等于第三项加第四项之和）</w:t>
            </w:r>
          </w:p>
        </w:tc>
        <w:tc>
          <w:tcPr>
            <w:tcW w:w="2563" w:type="pct"/>
            <w:gridSpan w:val="7"/>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申请人情况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37" w:type="pct"/>
            <w:gridSpan w:val="3"/>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330" w:type="pct"/>
            <w:vMerge w:val="restar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自然人</w:t>
            </w:r>
          </w:p>
        </w:tc>
        <w:tc>
          <w:tcPr>
            <w:tcW w:w="1946" w:type="pct"/>
            <w:gridSpan w:val="5"/>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法人或其他组织</w:t>
            </w:r>
          </w:p>
        </w:tc>
        <w:tc>
          <w:tcPr>
            <w:tcW w:w="287" w:type="pct"/>
            <w:vMerge w:val="restart"/>
            <w:vAlign w:val="center"/>
          </w:tcPr>
          <w:p>
            <w:pPr>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总计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2" w:hRule="atLeast"/>
          <w:jc w:val="center"/>
        </w:trPr>
        <w:tc>
          <w:tcPr>
            <w:tcW w:w="2437" w:type="pct"/>
            <w:gridSpan w:val="3"/>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330"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商业企业</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科研机构</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社会公益组织</w:t>
            </w:r>
          </w:p>
        </w:tc>
        <w:tc>
          <w:tcPr>
            <w:tcW w:w="458" w:type="pc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法律服务机构</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其他</w:t>
            </w:r>
          </w:p>
        </w:tc>
        <w:tc>
          <w:tcPr>
            <w:tcW w:w="287" w:type="pct"/>
            <w:vMerge w:val="continue"/>
            <w:vAlign w:val="center"/>
          </w:tcPr>
          <w:p>
            <w:pPr>
              <w:widowControl/>
              <w:jc w:val="center"/>
              <w:rPr>
                <w:rFonts w:ascii="Times New Roman" w:hAnsi="Times New Roman" w:eastAsia="方正仿宋简体" w:cs="Times New Roman"/>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37" w:type="pct"/>
            <w:gridSpan w:val="3"/>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一、本年新收政府信息公开申请数量</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widowControl/>
              <w:jc w:val="center"/>
              <w:rPr>
                <w:rFonts w:ascii="Times New Roman" w:hAnsi="Times New Roman" w:eastAsia="方正仿宋简体" w:cs="Times New Roman"/>
                <w:color w:val="000000"/>
                <w:kern w:val="0"/>
                <w:sz w:val="28"/>
                <w:szCs w:val="28"/>
              </w:rPr>
            </w:pPr>
            <w:r>
              <w:rPr>
                <w:rFonts w:hint="eastAsia" w:ascii="Times New Roman" w:hAnsi="Times New Roman" w:eastAsia="方正仿宋简体" w:cs="Times New Roman"/>
                <w:color w:val="000000"/>
                <w:kern w:val="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37" w:type="pct"/>
            <w:gridSpan w:val="3"/>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二、上年结转政府信息公开申请数量</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restar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三、本年度办理结果</w:t>
            </w:r>
          </w:p>
        </w:tc>
        <w:tc>
          <w:tcPr>
            <w:tcW w:w="1777" w:type="pct"/>
            <w:gridSpan w:val="2"/>
            <w:vAlign w:val="center"/>
          </w:tcPr>
          <w:p>
            <w:pPr>
              <w:pStyle w:val="4"/>
              <w:spacing w:before="0" w:beforeAutospacing="0" w:after="0" w:afterAutospacing="0" w:line="580" w:lineRule="exact"/>
              <w:ind w:firstLine="560" w:firstLineChars="200"/>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（一）予以公开</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5" w:hRule="atLeast"/>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777" w:type="pct"/>
            <w:gridSpan w:val="2"/>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（二）部分公开（区分处理的，只计这一情形，不计其他情形）</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restar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（三）不予公开</w:t>
            </w: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1.属于国家秘密</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2.其他法律行政法规禁止公开</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3.危及“三安全一稳定”</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4.保护第三方合法权益</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5.属于三类内部事务信息</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6.属于四类过程性信息</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7.属于行政执法案卷</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8.属于行政查询事项</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restar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（四）无法提供</w:t>
            </w:r>
          </w:p>
        </w:tc>
        <w:tc>
          <w:tcPr>
            <w:tcW w:w="1113" w:type="pc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1.本机关不掌握相关政府信息</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2.没有现成信息需要另行制作</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3.补正后申请内容仍不明确</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restar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（五）不予处理</w:t>
            </w:r>
          </w:p>
        </w:tc>
        <w:tc>
          <w:tcPr>
            <w:tcW w:w="1113" w:type="pc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1.信访举报投诉类申请</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2.重复申请</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3.要求提供公开出版物</w:t>
            </w:r>
          </w:p>
        </w:tc>
        <w:tc>
          <w:tcPr>
            <w:tcW w:w="330"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4.无正当理由大量反复申请</w:t>
            </w:r>
          </w:p>
        </w:tc>
        <w:tc>
          <w:tcPr>
            <w:tcW w:w="330"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664"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113" w:type="pct"/>
            <w:vAlign w:val="center"/>
          </w:tcPr>
          <w:p>
            <w:pPr>
              <w:widowControl/>
              <w:jc w:val="center"/>
              <w:rPr>
                <w:rFonts w:ascii="Times New Roman" w:hAnsi="Times New Roman" w:eastAsia="方正仿宋简体" w:cs="Times New Roman"/>
                <w:color w:val="000000"/>
                <w:kern w:val="0"/>
                <w:sz w:val="28"/>
                <w:szCs w:val="28"/>
              </w:rPr>
            </w:pPr>
            <w:r>
              <w:rPr>
                <w:rFonts w:ascii="Times New Roman" w:hAnsi="Times New Roman" w:eastAsia="方正仿宋简体" w:cs="Times New Roman"/>
                <w:color w:val="000000"/>
                <w:kern w:val="0"/>
                <w:sz w:val="28"/>
                <w:szCs w:val="28"/>
              </w:rPr>
              <w:t>5.要求行政机关确认或重新出具已获取信息</w:t>
            </w:r>
          </w:p>
        </w:tc>
        <w:tc>
          <w:tcPr>
            <w:tcW w:w="330"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777" w:type="pct"/>
            <w:gridSpan w:val="2"/>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（六）其他处理</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1" w:type="pct"/>
            <w:vMerge w:val="continue"/>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p>
        </w:tc>
        <w:tc>
          <w:tcPr>
            <w:tcW w:w="1777" w:type="pct"/>
            <w:gridSpan w:val="2"/>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（七）总计</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spacing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37" w:type="pct"/>
            <w:gridSpan w:val="3"/>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ascii="Times New Roman" w:hAnsi="Times New Roman" w:eastAsia="方正仿宋简体" w:cs="Times New Roman"/>
                <w:color w:val="000000"/>
                <w:sz w:val="28"/>
                <w:szCs w:val="28"/>
              </w:rPr>
              <w:t>四、结转下年度继续办理</w:t>
            </w:r>
          </w:p>
        </w:tc>
        <w:tc>
          <w:tcPr>
            <w:tcW w:w="330"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372"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458"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c>
          <w:tcPr>
            <w:tcW w:w="287" w:type="pct"/>
            <w:vAlign w:val="center"/>
          </w:tcPr>
          <w:p>
            <w:pPr>
              <w:pStyle w:val="4"/>
              <w:spacing w:before="0" w:beforeAutospacing="0" w:after="0" w:afterAutospacing="0" w:line="580" w:lineRule="exact"/>
              <w:jc w:val="center"/>
              <w:rPr>
                <w:rFonts w:ascii="Times New Roman" w:hAnsi="Times New Roman" w:eastAsia="方正仿宋简体" w:cs="Times New Roman"/>
                <w:color w:val="000000"/>
                <w:sz w:val="28"/>
                <w:szCs w:val="28"/>
              </w:rPr>
            </w:pPr>
            <w:r>
              <w:rPr>
                <w:rFonts w:hint="eastAsia" w:ascii="Times New Roman" w:hAnsi="Times New Roman" w:eastAsia="方正仿宋简体" w:cs="Times New Roman"/>
                <w:color w:val="000000"/>
                <w:sz w:val="28"/>
                <w:szCs w:val="28"/>
              </w:rPr>
              <w:t>0</w:t>
            </w:r>
          </w:p>
        </w:tc>
      </w:tr>
    </w:tbl>
    <w:p>
      <w:pPr>
        <w:pStyle w:val="4"/>
        <w:spacing w:before="0" w:beforeAutospacing="0" w:after="0" w:afterAutospacing="0" w:line="580" w:lineRule="exact"/>
        <w:jc w:val="both"/>
        <w:rPr>
          <w:rFonts w:ascii="Times New Roman" w:hAnsi="Times New Roman" w:eastAsia="方正仿宋简体" w:cs="Times New Roman"/>
          <w:color w:val="000000"/>
          <w:sz w:val="28"/>
          <w:szCs w:val="28"/>
        </w:rPr>
      </w:pPr>
    </w:p>
    <w:p>
      <w:pPr>
        <w:pStyle w:val="4"/>
        <w:spacing w:before="0" w:beforeAutospacing="0" w:after="0" w:afterAutospacing="0" w:line="580" w:lineRule="exact"/>
        <w:jc w:val="both"/>
        <w:rPr>
          <w:rFonts w:ascii="黑体" w:hAnsi="黑体" w:eastAsia="黑体" w:cs="黑体"/>
          <w:bCs/>
          <w:color w:val="000000"/>
          <w:sz w:val="32"/>
          <w:szCs w:val="32"/>
        </w:rPr>
      </w:pPr>
      <w:r>
        <w:rPr>
          <w:rFonts w:hint="eastAsia" w:ascii="黑体" w:hAnsi="黑体" w:eastAsia="黑体" w:cs="黑体"/>
          <w:bCs/>
          <w:color w:val="000000"/>
          <w:sz w:val="32"/>
          <w:szCs w:val="32"/>
        </w:rPr>
        <w:t>四、政府信息公开行政复议、行政诉讼情况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gridSpan w:val="5"/>
          </w:tcPr>
          <w:p>
            <w:pPr>
              <w:pStyle w:val="4"/>
              <w:spacing w:before="0" w:beforeAutospacing="0" w:after="0" w:afterAutospacing="0" w:line="580" w:lineRule="exact"/>
              <w:jc w:val="center"/>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sz w:val="28"/>
                <w:szCs w:val="28"/>
              </w:rPr>
              <w:t>行政复议</w:t>
            </w:r>
          </w:p>
        </w:tc>
        <w:tc>
          <w:tcPr>
            <w:tcW w:w="5682" w:type="dxa"/>
            <w:gridSpan w:val="10"/>
          </w:tcPr>
          <w:p>
            <w:pPr>
              <w:pStyle w:val="4"/>
              <w:spacing w:before="0" w:beforeAutospacing="0" w:after="0" w:afterAutospacing="0" w:line="580" w:lineRule="exact"/>
              <w:jc w:val="center"/>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sz w:val="28"/>
                <w:szCs w:val="28"/>
              </w:rPr>
              <w:t>行政诉讼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Merge w:val="restart"/>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结果维持</w:t>
            </w:r>
          </w:p>
        </w:tc>
        <w:tc>
          <w:tcPr>
            <w:tcW w:w="568" w:type="dxa"/>
            <w:vMerge w:val="restart"/>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结果纠正</w:t>
            </w:r>
          </w:p>
        </w:tc>
        <w:tc>
          <w:tcPr>
            <w:tcW w:w="568" w:type="dxa"/>
            <w:vMerge w:val="restart"/>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其他结果</w:t>
            </w:r>
          </w:p>
        </w:tc>
        <w:tc>
          <w:tcPr>
            <w:tcW w:w="568" w:type="dxa"/>
            <w:vMerge w:val="restart"/>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尚未审结</w:t>
            </w:r>
          </w:p>
        </w:tc>
        <w:tc>
          <w:tcPr>
            <w:tcW w:w="568" w:type="dxa"/>
            <w:vMerge w:val="restart"/>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总计</w:t>
            </w:r>
          </w:p>
        </w:tc>
        <w:tc>
          <w:tcPr>
            <w:tcW w:w="2840" w:type="dxa"/>
            <w:gridSpan w:val="5"/>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未经复议直接起诉</w:t>
            </w:r>
          </w:p>
        </w:tc>
        <w:tc>
          <w:tcPr>
            <w:tcW w:w="2842" w:type="dxa"/>
            <w:gridSpan w:val="5"/>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复议后起诉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vMerge w:val="continue"/>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p>
        </w:tc>
        <w:tc>
          <w:tcPr>
            <w:tcW w:w="568" w:type="dxa"/>
            <w:vMerge w:val="continue"/>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p>
        </w:tc>
        <w:tc>
          <w:tcPr>
            <w:tcW w:w="568" w:type="dxa"/>
            <w:vMerge w:val="continue"/>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p>
        </w:tc>
        <w:tc>
          <w:tcPr>
            <w:tcW w:w="568" w:type="dxa"/>
            <w:vMerge w:val="continue"/>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p>
        </w:tc>
        <w:tc>
          <w:tcPr>
            <w:tcW w:w="568" w:type="dxa"/>
            <w:vMerge w:val="continue"/>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结果维持</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结果纠正</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其他结果</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尚未审结</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总计</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结果维持</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结果纠正</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其他结果</w:t>
            </w:r>
          </w:p>
        </w:tc>
        <w:tc>
          <w:tcPr>
            <w:tcW w:w="569"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尚未审结</w:t>
            </w:r>
          </w:p>
        </w:tc>
        <w:tc>
          <w:tcPr>
            <w:tcW w:w="569"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ascii="Times New Roman" w:hAnsi="Times New Roman" w:eastAsia="方正仿宋简体" w:cs="Times New Roman"/>
                <w:color w:val="000000"/>
              </w:rPr>
              <w:t>总计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hint="eastAsia" w:ascii="Times New Roman" w:hAnsi="Times New Roman" w:eastAsia="方正黑体简体" w:cs="Times New Roman"/>
                <w:b/>
                <w:bCs/>
                <w:color w:val="000000"/>
                <w:sz w:val="32"/>
                <w:szCs w:val="32"/>
              </w:rPr>
              <w:t>0</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hint="eastAsia" w:ascii="Times New Roman" w:hAnsi="Times New Roman" w:eastAsia="方正黑体简体" w:cs="Times New Roman"/>
                <w:b/>
                <w:bCs/>
                <w:color w:val="000000"/>
                <w:sz w:val="32"/>
                <w:szCs w:val="32"/>
              </w:rPr>
              <w:t>0</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hint="eastAsia" w:ascii="Times New Roman" w:hAnsi="Times New Roman" w:eastAsia="方正黑体简体" w:cs="Times New Roman"/>
                <w:b/>
                <w:bCs/>
                <w:color w:val="000000"/>
                <w:sz w:val="32"/>
                <w:szCs w:val="32"/>
              </w:rPr>
              <w:t>0</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hint="eastAsia" w:ascii="Times New Roman" w:hAnsi="Times New Roman" w:eastAsia="方正黑体简体" w:cs="Times New Roman"/>
                <w:b/>
                <w:bCs/>
                <w:color w:val="000000"/>
                <w:sz w:val="32"/>
                <w:szCs w:val="32"/>
              </w:rPr>
              <w:t>0</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hint="eastAsia" w:ascii="Times New Roman" w:hAnsi="Times New Roman" w:eastAsia="方正黑体简体" w:cs="Times New Roman"/>
                <w:b/>
                <w:bCs/>
                <w:color w:val="000000"/>
                <w:sz w:val="32"/>
                <w:szCs w:val="32"/>
              </w:rPr>
              <w:t>0</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hint="eastAsia" w:ascii="Times New Roman" w:hAnsi="Times New Roman" w:eastAsia="方正黑体简体" w:cs="Times New Roman"/>
                <w:b/>
                <w:bCs/>
                <w:color w:val="000000"/>
                <w:sz w:val="32"/>
                <w:szCs w:val="32"/>
              </w:rPr>
              <w:t>0</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hint="eastAsia" w:ascii="Times New Roman" w:hAnsi="Times New Roman" w:eastAsia="方正黑体简体" w:cs="Times New Roman"/>
                <w:b/>
                <w:bCs/>
                <w:color w:val="000000"/>
                <w:sz w:val="32"/>
                <w:szCs w:val="32"/>
              </w:rPr>
              <w:t>0</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hint="eastAsia" w:ascii="Times New Roman" w:hAnsi="Times New Roman" w:eastAsia="方正黑体简体" w:cs="Times New Roman"/>
                <w:b/>
                <w:bCs/>
                <w:color w:val="000000"/>
                <w:sz w:val="32"/>
                <w:szCs w:val="32"/>
              </w:rPr>
              <w:t>0</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hint="eastAsia" w:ascii="Times New Roman" w:hAnsi="Times New Roman" w:eastAsia="方正黑体简体" w:cs="Times New Roman"/>
                <w:b/>
                <w:bCs/>
                <w:color w:val="000000"/>
                <w:sz w:val="32"/>
                <w:szCs w:val="32"/>
              </w:rPr>
              <w:t>0</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hint="eastAsia" w:ascii="Times New Roman" w:hAnsi="Times New Roman" w:eastAsia="方正黑体简体" w:cs="Times New Roman"/>
                <w:b/>
                <w:bCs/>
                <w:color w:val="000000"/>
                <w:sz w:val="32"/>
                <w:szCs w:val="32"/>
              </w:rPr>
              <w:t>0</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hint="eastAsia" w:ascii="Times New Roman" w:hAnsi="Times New Roman" w:eastAsia="方正黑体简体" w:cs="Times New Roman"/>
                <w:b/>
                <w:bCs/>
                <w:color w:val="000000"/>
                <w:sz w:val="32"/>
                <w:szCs w:val="32"/>
              </w:rPr>
              <w:t>0</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hint="eastAsia" w:ascii="Times New Roman" w:hAnsi="Times New Roman" w:eastAsia="方正黑体简体" w:cs="Times New Roman"/>
                <w:b/>
                <w:bCs/>
                <w:color w:val="000000"/>
                <w:sz w:val="32"/>
                <w:szCs w:val="32"/>
              </w:rPr>
              <w:t>0</w:t>
            </w:r>
          </w:p>
        </w:tc>
        <w:tc>
          <w:tcPr>
            <w:tcW w:w="568"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hint="eastAsia" w:ascii="Times New Roman" w:hAnsi="Times New Roman" w:eastAsia="方正黑体简体" w:cs="Times New Roman"/>
                <w:b/>
                <w:bCs/>
                <w:color w:val="000000"/>
                <w:sz w:val="32"/>
                <w:szCs w:val="32"/>
              </w:rPr>
              <w:t>0</w:t>
            </w:r>
          </w:p>
        </w:tc>
        <w:tc>
          <w:tcPr>
            <w:tcW w:w="569"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hint="eastAsia" w:ascii="Times New Roman" w:hAnsi="Times New Roman" w:eastAsia="方正黑体简体" w:cs="Times New Roman"/>
                <w:b/>
                <w:bCs/>
                <w:color w:val="000000"/>
                <w:sz w:val="32"/>
                <w:szCs w:val="32"/>
              </w:rPr>
              <w:t>0</w:t>
            </w:r>
          </w:p>
        </w:tc>
        <w:tc>
          <w:tcPr>
            <w:tcW w:w="569" w:type="dxa"/>
          </w:tcPr>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r>
              <w:rPr>
                <w:rFonts w:hint="eastAsia" w:ascii="Times New Roman" w:hAnsi="Times New Roman" w:eastAsia="方正黑体简体" w:cs="Times New Roman"/>
                <w:b/>
                <w:bCs/>
                <w:color w:val="000000"/>
                <w:sz w:val="32"/>
                <w:szCs w:val="32"/>
              </w:rPr>
              <w:t>0</w:t>
            </w:r>
          </w:p>
        </w:tc>
      </w:tr>
    </w:tbl>
    <w:p>
      <w:pPr>
        <w:pStyle w:val="4"/>
        <w:spacing w:before="0" w:beforeAutospacing="0" w:after="0" w:afterAutospacing="0" w:line="580" w:lineRule="exact"/>
        <w:jc w:val="both"/>
        <w:rPr>
          <w:rFonts w:ascii="Times New Roman" w:hAnsi="Times New Roman" w:eastAsia="方正黑体简体" w:cs="Times New Roman"/>
          <w:b/>
          <w:bCs/>
          <w:color w:val="000000"/>
          <w:sz w:val="32"/>
          <w:szCs w:val="32"/>
        </w:rPr>
      </w:pPr>
    </w:p>
    <w:p>
      <w:pPr>
        <w:pStyle w:val="4"/>
        <w:spacing w:before="0" w:beforeAutospacing="0" w:after="0" w:afterAutospacing="0" w:line="580" w:lineRule="exact"/>
        <w:jc w:val="both"/>
        <w:rPr>
          <w:rFonts w:ascii="黑体" w:hAnsi="黑体" w:eastAsia="黑体" w:cs="黑体"/>
          <w:bCs/>
          <w:color w:val="000000"/>
          <w:sz w:val="32"/>
          <w:szCs w:val="32"/>
        </w:rPr>
      </w:pPr>
      <w:r>
        <w:rPr>
          <w:rFonts w:hint="eastAsia" w:ascii="黑体" w:hAnsi="黑体" w:eastAsia="黑体" w:cs="黑体"/>
          <w:bCs/>
          <w:color w:val="000000"/>
          <w:sz w:val="32"/>
          <w:szCs w:val="32"/>
        </w:rPr>
        <w:t>五、存在的主要问题及改进情况</w:t>
      </w:r>
    </w:p>
    <w:p>
      <w:pPr>
        <w:pStyle w:val="4"/>
        <w:spacing w:before="0" w:beforeAutospacing="0" w:after="0" w:afterAutospacing="0" w:line="560" w:lineRule="atLeas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本单位政府信息公开工作存在的主要问题：一是部分信息发布还不够及时；二是网站建设有待进一步加强；三是规章制度有待进一步完善。</w:t>
      </w:r>
      <w:r>
        <w:rPr>
          <w:rFonts w:hint="eastAsia" w:ascii="仿宋_GB2312" w:eastAsia="仿宋_GB2312"/>
          <w:sz w:val="32"/>
          <w:szCs w:val="32"/>
        </w:rPr>
        <w:t xml:space="preserve">今后，我镇将从以下三个方面作出改进： </w:t>
      </w:r>
    </w:p>
    <w:p>
      <w:pPr>
        <w:pStyle w:val="4"/>
        <w:spacing w:before="0" w:beforeAutospacing="0" w:after="0" w:afterAutospacing="0" w:line="560" w:lineRule="atLeast"/>
        <w:ind w:firstLine="640"/>
        <w:rPr>
          <w:rFonts w:ascii="仿宋_GB2312" w:hAnsi="仿宋_GB2312" w:eastAsia="仿宋_GB2312" w:cs="仿宋_GB2312"/>
          <w:color w:val="000000"/>
          <w:sz w:val="27"/>
          <w:szCs w:val="27"/>
        </w:rPr>
      </w:pPr>
      <w:r>
        <w:rPr>
          <w:rFonts w:hint="eastAsia" w:ascii="楷体_GB2312" w:eastAsia="楷体_GB2312"/>
          <w:sz w:val="32"/>
          <w:szCs w:val="32"/>
        </w:rPr>
        <w:t>(一)加强日常管理和督促检查，加大主动公开力度。</w:t>
      </w:r>
      <w:r>
        <w:rPr>
          <w:rFonts w:hint="eastAsia" w:ascii="仿宋_GB2312" w:hAnsi="仿宋_GB2312" w:eastAsia="仿宋_GB2312" w:cs="仿宋_GB2312"/>
          <w:color w:val="000000"/>
          <w:kern w:val="2"/>
          <w:sz w:val="32"/>
          <w:szCs w:val="32"/>
        </w:rPr>
        <w:t>加强政府信息发布登记、统计、通报、监督检查等制度，细化操作办法，建立长效的监督管理机制，实现应公开的政府信息全面、及时、主动予以公开。</w:t>
      </w:r>
    </w:p>
    <w:p>
      <w:pPr>
        <w:pStyle w:val="4"/>
        <w:spacing w:before="0" w:beforeAutospacing="0" w:after="0" w:afterAutospacing="0" w:line="560" w:lineRule="atLeast"/>
        <w:ind w:firstLine="640"/>
        <w:rPr>
          <w:rFonts w:ascii="仿宋_GB2312" w:hAnsi="仿宋_GB2312" w:eastAsia="仿宋_GB2312" w:cs="仿宋_GB2312"/>
          <w:color w:val="000000"/>
          <w:sz w:val="27"/>
          <w:szCs w:val="27"/>
        </w:rPr>
      </w:pPr>
      <w:r>
        <w:rPr>
          <w:rFonts w:hint="eastAsia" w:ascii="楷体_GB2312" w:eastAsia="楷体_GB2312"/>
          <w:sz w:val="32"/>
          <w:szCs w:val="32"/>
        </w:rPr>
        <w:t>(二)继续加强小岞镇政府网站建设。</w:t>
      </w:r>
      <w:r>
        <w:rPr>
          <w:rFonts w:hint="eastAsia" w:ascii="仿宋_GB2312" w:hAnsi="仿宋_GB2312" w:eastAsia="仿宋_GB2312" w:cs="仿宋_GB2312"/>
          <w:color w:val="000000"/>
          <w:sz w:val="32"/>
          <w:szCs w:val="32"/>
        </w:rPr>
        <w:t>强化政府与网民互动交流，提高网上办事能力；扩大公开面，主动向社会公开重大政策措施，为公民、法人或其他组织获取政府信息提供便利。</w:t>
      </w:r>
    </w:p>
    <w:p>
      <w:pPr>
        <w:pStyle w:val="4"/>
        <w:spacing w:before="0" w:beforeAutospacing="0" w:after="0" w:afterAutospacing="0" w:line="560" w:lineRule="atLeast"/>
        <w:ind w:firstLine="640"/>
        <w:rPr>
          <w:rFonts w:ascii="仿宋_GB2312" w:hAnsi="仿宋_GB2312" w:eastAsia="仿宋_GB2312" w:cs="仿宋_GB2312"/>
          <w:color w:val="000000"/>
          <w:kern w:val="2"/>
          <w:sz w:val="32"/>
          <w:szCs w:val="32"/>
        </w:rPr>
      </w:pPr>
      <w:r>
        <w:rPr>
          <w:rFonts w:hint="eastAsia" w:ascii="楷体" w:hAnsi="楷体" w:eastAsia="楷体" w:cs="楷体"/>
          <w:color w:val="000000"/>
          <w:sz w:val="32"/>
          <w:szCs w:val="32"/>
        </w:rPr>
        <w:t>(三)加强制度建设，建立健全长效机制。</w:t>
      </w:r>
      <w:r>
        <w:rPr>
          <w:rFonts w:hint="eastAsia" w:ascii="仿宋_GB2312" w:hAnsi="仿宋_GB2312" w:eastAsia="仿宋_GB2312" w:cs="仿宋_GB2312"/>
          <w:color w:val="000000"/>
          <w:kern w:val="2"/>
          <w:sz w:val="32"/>
          <w:szCs w:val="32"/>
        </w:rPr>
        <w:t>建立健全门户网站内容保障机制和绩效考核制度，从信息产生源头落实措施，明确责任，加强考核，进一步规范网上发布信息的规范化和标准化。</w:t>
      </w:r>
    </w:p>
    <w:p>
      <w:pPr>
        <w:pStyle w:val="4"/>
        <w:spacing w:before="0" w:beforeAutospacing="0" w:after="0" w:afterAutospacing="0" w:line="580" w:lineRule="exact"/>
        <w:jc w:val="both"/>
        <w:rPr>
          <w:rFonts w:ascii="黑体" w:hAnsi="黑体" w:eastAsia="黑体" w:cs="黑体"/>
          <w:bCs/>
          <w:color w:val="000000"/>
          <w:sz w:val="32"/>
          <w:szCs w:val="32"/>
        </w:rPr>
      </w:pPr>
      <w:r>
        <w:rPr>
          <w:rFonts w:hint="eastAsia" w:ascii="黑体" w:hAnsi="黑体" w:eastAsia="黑体" w:cs="黑体"/>
          <w:bCs/>
          <w:color w:val="000000"/>
          <w:sz w:val="32"/>
          <w:szCs w:val="32"/>
        </w:rPr>
        <w:t>六、其他需要报告的事项</w:t>
      </w:r>
    </w:p>
    <w:p>
      <w:pPr>
        <w:pStyle w:val="4"/>
        <w:spacing w:before="0" w:beforeAutospacing="0" w:after="0" w:afterAutospacing="0" w:line="580" w:lineRule="exact"/>
        <w:ind w:firstLine="640" w:firstLineChars="200"/>
        <w:jc w:val="both"/>
        <w:rPr>
          <w:rFonts w:ascii="仿宋_GB2312" w:eastAsia="仿宋_GB2312"/>
          <w:sz w:val="32"/>
          <w:szCs w:val="32"/>
        </w:rPr>
      </w:pPr>
      <w:r>
        <w:rPr>
          <w:rFonts w:hint="eastAsia" w:ascii="仿宋_GB2312" w:eastAsia="仿宋_GB2312"/>
          <w:sz w:val="32"/>
          <w:szCs w:val="32"/>
        </w:rPr>
        <w:t>无</w:t>
      </w:r>
    </w:p>
    <w:p/>
    <w:p/>
    <w:p/>
    <w:p/>
    <w:p>
      <w:pPr>
        <w:pStyle w:val="4"/>
        <w:spacing w:before="0" w:beforeAutospacing="0" w:after="0" w:afterAutospacing="0" w:line="580" w:lineRule="exact"/>
        <w:ind w:firstLine="5440" w:firstLineChars="1700"/>
        <w:jc w:val="both"/>
        <w:rPr>
          <w:rFonts w:ascii="仿宋_GB2312" w:eastAsia="仿宋_GB2312"/>
          <w:sz w:val="32"/>
          <w:szCs w:val="32"/>
        </w:rPr>
      </w:pPr>
      <w:r>
        <w:rPr>
          <w:rFonts w:hint="eastAsia" w:ascii="仿宋_GB2312" w:eastAsia="仿宋_GB2312"/>
          <w:sz w:val="32"/>
          <w:szCs w:val="32"/>
        </w:rPr>
        <w:t>小岞镇人民政府</w:t>
      </w:r>
    </w:p>
    <w:p>
      <w:pPr>
        <w:pStyle w:val="4"/>
        <w:spacing w:before="0" w:beforeAutospacing="0" w:after="0" w:afterAutospacing="0" w:line="580" w:lineRule="exact"/>
        <w:ind w:firstLine="5280" w:firstLineChars="1650"/>
        <w:jc w:val="both"/>
        <w:rPr>
          <w:rFonts w:ascii="仿宋_GB2312" w:eastAsia="仿宋_GB2312"/>
          <w:sz w:val="32"/>
          <w:szCs w:val="32"/>
        </w:rPr>
      </w:pPr>
      <w:r>
        <w:rPr>
          <w:rFonts w:hint="eastAsia" w:ascii="仿宋_GB2312" w:eastAsia="仿宋_GB2312"/>
          <w:sz w:val="32"/>
          <w:szCs w:val="32"/>
        </w:rPr>
        <w:t>2021年1月4日</w:t>
      </w:r>
    </w:p>
    <w:p>
      <w:pPr>
        <w:widowControl/>
        <w:ind w:firstLine="480"/>
        <w:rPr>
          <w:rFonts w:ascii="Times New Roman" w:hAnsi="Times New Roman" w:eastAsia="方正仿宋简体" w:cs="Times New Roman"/>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616F3C"/>
    <w:rsid w:val="001A4A74"/>
    <w:rsid w:val="00601790"/>
    <w:rsid w:val="00A85159"/>
    <w:rsid w:val="00B471E9"/>
    <w:rsid w:val="00EE13FC"/>
    <w:rsid w:val="422C3C8D"/>
    <w:rsid w:val="461F50E2"/>
    <w:rsid w:val="4A2C5F70"/>
    <w:rsid w:val="4B9B52F0"/>
    <w:rsid w:val="6EC336A7"/>
    <w:rsid w:val="79616F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352</Words>
  <Characters>2011</Characters>
  <Lines>16</Lines>
  <Paragraphs>4</Paragraphs>
  <TotalTime>30</TotalTime>
  <ScaleCrop>false</ScaleCrop>
  <LinksUpToDate>false</LinksUpToDate>
  <CharactersWithSpaces>2359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2021-01-04T07:02:00Z</dcterms:created>
  <dc:creator>echo。</dc:creator>
  <cp:lastModifiedBy>echo。</cp:lastModifiedBy>
  <dcterms:modified xsi:type="dcterms:W3CDTF">2021-04-19T03:27:18Z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201473803_cloud</vt:lpwstr>
  </property>
  <property fmtid="{D5CDD505-2E9C-101B-9397-08002B2CF9AE}" pid="4" name="ICV">
    <vt:lpwstr>F2FE298C2756470CB05F10AC7F61F9BF</vt:lpwstr>
  </property>
</Properties>
</file>